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color w:val="1F3B63"/>
          <w:sz w:val="18"/>
        </w:rPr>
        <w:t>GNL-ZMR-ZT-001 · TASLAK · v1.0</w:t>
      </w:r>
    </w:p>
    <w:tbl>
      <w:tblPr>
        <w:tblStyle w:val="TableGrid"/>
        <w:tblW w:w="10091" w:type="dxa"/>
        <w:jc w:val="center"/>
        <w:tblLayout w:type="fixed"/>
        <w:tblLook w:firstColumn="1" w:firstRow="1" w:lastColumn="0" w:lastRow="0" w:noHBand="0" w:noVBand="1" w:val="04A0"/>
      </w:tblPr>
      <w:tblGrid>
        <w:gridCol w:w="10091"/>
      </w:tblGrid>
      <w:tr>
        <w:tc>
          <w:tcPr>
            <w:tcW w:w="10091" w:type="dxa"/>
            <w:shd w:val="clear" w:fill="F2F2F2"/>
          </w:tcPr>
          <w:p>
            <w:r/>
            <w:r>
              <w:rPr>
                <w:b/>
                <w:sz w:val="20"/>
              </w:rPr>
              <w:t>KULLANIM KILAVUZU — ÇOĞALTMADAN ÖNCE BU SAYFAYI SİLİNİZ</w:t>
            </w:r>
          </w:p>
          <w:p>
            <w:pPr>
              <w:spacing w:after="60"/>
              <w:jc w:val="both"/>
            </w:pPr>
            <w:r>
              <w:rPr>
                <w:b w:val="0"/>
                <w:i w:val="0"/>
                <w:sz w:val="18"/>
              </w:rPr>
              <w:t>• Kapsam: Bu tutanak taslağı okuldaki tüm alan zümreleri için ortak çerçevedir ve hazırlık sınıfı bulunmayan Anadolu lisesine göre yazılmıştır; mesleki ve teknik ortaöğretime, imam hatip liselerine ve hazırlık sınıfına özgü hükümlere yer verilmemiştir.</w:t>
            </w:r>
          </w:p>
          <w:p>
            <w:pPr>
              <w:spacing w:after="60"/>
              <w:jc w:val="both"/>
            </w:pPr>
            <w:r>
              <w:rPr>
                <w:b w:val="0"/>
                <w:i w:val="0"/>
                <w:sz w:val="18"/>
              </w:rPr>
              <w:t>• Metnin niteliği: Görüşme özetleri ve kararlar, toplantıda ele alınması beklenen akışa göre ÖNCEDEN YAZILMIŞTIR. Toplantıda görüşülmeyen bir husus tutanakta bırakılamaz: örtüşmeyen cümle düzeltilir veya çıkarılır, örtüşen cümle olduğu gibi kalır. Karar çıkarıldığında sonraki karar numaraları kaydırılır.</w:t>
            </w:r>
          </w:p>
          <w:p>
            <w:pPr>
              <w:spacing w:after="60"/>
              <w:jc w:val="both"/>
            </w:pPr>
            <w:r>
              <w:rPr>
                <w:b w:val="0"/>
                <w:i w:val="0"/>
                <w:sz w:val="18"/>
              </w:rPr>
              <w:t>• Doldurulacak alanlar: Metinde KIRMIZI renkli ve köşeli parantez içinde gösterilen alanlar (branş, tarih, saat, yer, ad-soyad, sayı, sınıf düzeyi) toplantı öncesinde veya sırasında doldurulur; nokta dizisi elle yazmaya yetecek genişlikte bırakılmıştır. Alan doldurulduktan sonra köşeli parantez kaldırılır ve yazı rengi siyaha çevrilir; belgede kırmızı alan kalması eksik doldurma işaretidir. Öğrenci ve veli adı yazılmaz; sayısal özet kullanılır, isim listesi gerektiğinde ayrı yazıyla ilgili birime iletilir.</w:t>
            </w:r>
          </w:p>
          <w:p>
            <w:pPr>
              <w:spacing w:after="60"/>
              <w:jc w:val="both"/>
            </w:pPr>
            <w:r>
              <w:rPr>
                <w:b w:val="0"/>
                <w:i w:val="0"/>
                <w:sz w:val="18"/>
              </w:rPr>
              <w:t>• Usul: Toplantının tarihi, yeri ve gündemi en az beş gün önceden yazılı olarak duyurulur ve toplantı ders saatleri dışında yapılır. Kararlar oy çokluğuyla alınır; eşitlik hâlinde zümre başkanının katıldığı görüş kabul edilir. Ders ziyareti kararı yalnız oy birliğiyle alınabilir. Tutanak, toplantıya katılmayanlar dâhil bütün zümre üyelerince imzalanır; kararlar okul müdürünün onayından sonra uygulanır.</w:t>
            </w:r>
          </w:p>
          <w:p>
            <w:pPr>
              <w:spacing w:after="60"/>
              <w:jc w:val="both"/>
            </w:pPr>
            <w:r>
              <w:rPr>
                <w:b w:val="0"/>
                <w:i w:val="0"/>
                <w:sz w:val="18"/>
              </w:rPr>
              <w:t>• Karar yazımı: Mevzuatın zaten emrettiği hüküm karar olarak tekrar yazılmaz; karar, o hükmün bu zümrede nasıl uygulanacağını gösteren, sorumlusu ve tarihi belli cümledir.</w:t>
            </w:r>
          </w:p>
          <w:p>
            <w:pPr>
              <w:spacing w:after="60"/>
              <w:jc w:val="both"/>
            </w:pPr>
            <w:r>
              <w:rPr>
                <w:b w:val="0"/>
                <w:i w:val="0"/>
                <w:sz w:val="18"/>
              </w:rPr>
              <w:t>• Dayanaklar: Hükümler görüşme ve karar metinlerinin içinde anılmıştır; künyelerin tamamı imzadan önceki 'Tutanağın Dayandığı Mevzuat' çizelgesindedir.</w:t>
            </w:r>
          </w:p>
          <w:p>
            <w:pPr>
              <w:spacing w:after="60"/>
              <w:jc w:val="both"/>
            </w:pPr>
            <w:r>
              <w:rPr>
                <w:b w:val="0"/>
                <w:i w:val="0"/>
                <w:sz w:val="18"/>
              </w:rPr>
              <w:t>• Toplantı zinciri: Ders yılı başı (GNL-ZMR-ZT-001) yıl geneli çerçeveyi kurar; kasım (ZT-002), ikinci dönem başı (ZT-003) ve nisan (ZT-004) toplantıları bu çerçeveyi izler, ders yılı sonu toplantısı (ZT-005) kararları sonuçlarıyla kapatır.</w:t>
            </w:r>
          </w:p>
          <w:p>
            <w:pPr>
              <w:spacing w:after="60"/>
              <w:jc w:val="both"/>
            </w:pPr>
            <w:r>
              <w:rPr>
                <w:b w:val="0"/>
                <w:i w:val="0"/>
                <w:sz w:val="18"/>
              </w:rPr>
              <w:t>• Zamanlama: Ders yılı başı zümre toplantısı, öğretmenler kurulu toplantısını takip eden iş gününde, müdürlükçe planlanan tarihte ve bir iş günü içinde yapılır. Tarih, İstanbul İl Millî Eğitim Müdürlüğü çalışma takvimi ve okul yönetiminin planlamasıyla kesinleştirilir.</w:t>
            </w:r>
          </w:p>
          <w:p>
            <w:pPr>
              <w:spacing w:after="60"/>
              <w:jc w:val="both"/>
            </w:pPr>
            <w:r>
              <w:rPr>
                <w:b w:val="0"/>
                <w:i w:val="0"/>
                <w:sz w:val="18"/>
              </w:rPr>
              <w:t>• Varyantlar: 8-A bölümü bütün derslere ortaktır. 8-B yalnız uygulamalı dersler (beden eğitimi ve spor, görsel sanatlar, müzik), 8-C yalnız dil dersleri (Türk dili ve edebiyatı, yabancı diller) içindir; branşınıza uymayan bölümü çıkarınız.</w:t>
            </w:r>
          </w:p>
          <w:p>
            <w:pPr>
              <w:spacing w:after="60"/>
              <w:jc w:val="both"/>
            </w:pPr>
            <w:r>
              <w:rPr>
                <w:b w:val="0"/>
                <w:i w:val="0"/>
                <w:sz w:val="18"/>
              </w:rPr>
              <w:t xml:space="preserve">• Türkiye Yüzyılı Maarif Modelinin kapsamı ders bazındadır; branşınıza göre madde 5'teki </w:t>
            </w:r>
            <w:r>
              <w:rPr>
                <w:b w:val="0"/>
                <w:i w:val="0"/>
                <w:color w:val="C00000"/>
                <w:sz w:val="18"/>
              </w:rPr>
              <w:t>[……………………]</w:t>
            </w:r>
            <w:r>
              <w:rPr>
                <w:b w:val="0"/>
                <w:i w:val="0"/>
                <w:sz w:val="18"/>
              </w:rPr>
              <w:t xml:space="preserve"> alanları şöyle doldurulur: matematik, Türk dili ve edebiyatı, fizik, kimya, biyoloji, coğrafya, din kültürü ve ahlak bilgisi, Kur'an-ı Kerim ve peygamberimizin hayatı → kapsam 9, 10 ve 11, kapsam dışı 12 · tarih (9-10-11) ve felsefe (10-11) → dersin bütün sınıfları kapsamda, kapsam dışı satırı çıkarılır · beden eğitimi ve spor, görsel sanatlar, müzik, İngilizce → kapsam 9 ve 10, kapsam dışı 11 ve 12.</w:t>
            </w:r>
          </w:p>
          <w:p>
            <w:pPr>
              <w:spacing w:after="60"/>
              <w:jc w:val="both"/>
            </w:pPr>
            <w:r>
              <w:rPr>
                <w:b w:val="0"/>
                <w:i w:val="0"/>
                <w:sz w:val="18"/>
              </w:rPr>
              <w:t xml:space="preserve">• Öğretim programının 2026 nüshası esastır. 23.05.2024 tarihli ve 20 sayılı kararla kabul edilen ortaöğretim programları 2026'da değiştirilmiştir; dayanak karar aynı kalır, metin değişir. Programın güncel nüshası mufredat.meb.gov.tr'den indirilir; madde 5'teki </w:t>
            </w:r>
            <w:r>
              <w:rPr>
                <w:b w:val="0"/>
                <w:i w:val="0"/>
                <w:color w:val="C00000"/>
                <w:sz w:val="18"/>
              </w:rPr>
              <w:t>[…………………………………………]</w:t>
            </w:r>
            <w:r>
              <w:rPr>
                <w:b w:val="0"/>
                <w:i w:val="0"/>
                <w:sz w:val="18"/>
              </w:rPr>
              <w:t xml:space="preserve"> alanına iki nüsha arasındaki farklar (değişen ünite ders saatleri ve öğrenme çıktısı ifadeleri) yazılır, fark yoksa 'değişiklik tespit edilmemiştir' denir. Beden eğitimi ve spor, görsel sanatlar, müzik ve İngilizce programlarında 2026 revizyonu yoktur; bu branşlarda söz konusu cümle çıkarılır.</w:t>
            </w:r>
          </w:p>
          <w:p>
            <w:pPr>
              <w:spacing w:after="60"/>
              <w:jc w:val="both"/>
            </w:pPr>
            <w:r>
              <w:rPr>
                <w:b w:val="0"/>
                <w:i w:val="0"/>
                <w:sz w:val="18"/>
              </w:rPr>
              <w:t>• Kapsam dışındaki sınıflarda (çoğu derste 12. sınıf; uygulamalı derslerle İngilizcede 11 ve 12) uygulanacak ÖNCEKİ programın Talim ve Terbiye Kurulu karar künyesi, ne Maarif Modeli program metninde ne de tymm.meb.gov.tr'de yazar; künye ortaöğretim haftalık ders çizelgelerinin açıklama bölümünden alınır (ttkb.meb.gov.tr; '&lt;Ders&gt; dersinde; Talim ve Terbiye Kurulunun … tarih ve … sayılı Kararı ile kabul edilen öğretim programı uygulanır'). Doğrulanmış künyeler: Türk dili ve edebiyatı 19.01.2018-39 · matematik (Anadolu lisesi) -32 · fizik -28 · kimya -30 · biyoloji -34 · coğrafya -26 · din kültürü ve ahlak bilgisi -18 · peygamberimizin hayatı -19 · beden eğitimi ve spor -24 · görsel sanatlar -25 · müzik -22 · İngilizce (9-12) -40. Kur'an-ı Kerim dersinin künyesi bu çizelgelerde geçmez; yazılmadan önce doğrulanmalıdır.</w:t>
            </w:r>
          </w:p>
          <w:p>
            <w:pPr>
              <w:spacing w:after="60"/>
              <w:jc w:val="both"/>
            </w:pPr>
            <w:r>
              <w:rPr>
                <w:b w:val="0"/>
                <w:i w:val="0"/>
                <w:sz w:val="18"/>
              </w:rPr>
              <w:t>• Sınav sonuçlarına itirazda okul uygulaması beş iş günüdür: Yazılı ve Uygulamalı Sınavlar Yönergesinde sonuç itirazı için üç iş günü öngörülmüş olmakla birlikte, öğrenci lehine olan ve üst normda yer alan Ortaöğretim Kurumları Yönetmeliğinin 49 uncu maddesinin dördüncü fıkrasındaki beş iş günlük süre esas alınır; itiraz, ders öğretmeni dışında ilgili branştan en az iki öğretmenden oluşan komisyonca incelenir. Sınav sorularına itiraz süresi ise üç iş günüdür; bu ayrım veli bilgilendirmesinde korunur (madde 8-A).</w:t>
            </w:r>
          </w:p>
          <w:p>
            <w:pPr>
              <w:spacing w:after="60"/>
              <w:jc w:val="both"/>
            </w:pPr>
            <w:r>
              <w:rPr>
                <w:b w:val="0"/>
                <w:i w:val="0"/>
                <w:sz w:val="18"/>
              </w:rPr>
              <w:t>• Ekteki EK-3 performans ölçeği örnektir; kalemler, ağırlıklar ve ölçütler zümrece branşa uyarlanır.</w:t>
            </w:r>
          </w:p>
          <w:p>
            <w:pPr>
              <w:spacing w:after="60"/>
              <w:jc w:val="both"/>
            </w:pPr>
            <w:r>
              <w:rPr>
                <w:b w:val="0"/>
                <w:i w:val="0"/>
                <w:sz w:val="18"/>
              </w:rPr>
              <w:t>• Bu belge, okulapp.org üzerinde yayımlanan GENEL TUTANAK ŞABLONU setinin parçasıdır (sürüm: 2026.08.3 (02.09.2026)). Resmî bir Bakanlık belgesi değildir; okulun şartlarına ve toplantıda gerçekten görüşülen hususlara göre uyarlanır. Metindeki mevzuat atıfları 28.08.2026 tarihi itibarıyla yürürlükteki hükümlere göre yazılmıştır; kullanmadan önce güncelliği kontrol ediniz. Lisans: CC BY 4.0 — kaynak gösterilerek kullanılabilir ve uyarlanabilir.</w:t>
            </w:r>
          </w:p>
          <w:p>
            <w:pPr>
              <w:spacing w:after="60"/>
              <w:jc w:val="both"/>
            </w:pPr>
            <w:r>
              <w:rPr>
                <w:b w:val="0"/>
                <w:i w:val="0"/>
                <w:sz w:val="18"/>
              </w:rPr>
              <w:t>• Kişisel veri: Bu şablon hiçbir kişi, öğrenci veya kurum verisi içermez; kurum ve kişi alanları yer tutucudur. Doldurulmuş nüsha kişisel veri içerir: okul dışına verilmez, internette yayımlanmaz, mevzuatta öngörülen süreyle okulda saklanır.</w:t>
            </w:r>
          </w:p>
        </w:tc>
      </w:tr>
    </w:tbl>
    <w:p>
      <w:pPr>
        <w:spacing w:after="0"/>
      </w:pPr>
      <w:r>
        <w:br w:type="page"/>
      </w:r>
    </w:p>
    <w:p>
      <w:pPr>
        <w:spacing w:after="40" w:before="0"/>
        <w:jc w:val="center"/>
      </w:pPr>
      <w:r>
        <w:rPr>
          <w:b/>
          <w:i w:val="0"/>
          <w:color w:val="C00000"/>
          <w:sz w:val="23"/>
        </w:rPr>
        <w:t>[OKUL ADI]</w:t>
      </w:r>
    </w:p>
    <w:p>
      <w:pPr>
        <w:spacing w:after="40" w:before="0"/>
        <w:jc w:val="center"/>
      </w:pPr>
      <w:r>
        <w:rPr>
          <w:b/>
          <w:i w:val="0"/>
          <w:color w:val="1F3B63"/>
          <w:sz w:val="23"/>
        </w:rPr>
        <w:t>2026-2027 EĞİTİM VE ÖĞRETİM YILI</w:t>
      </w:r>
    </w:p>
    <w:p>
      <w:pPr>
        <w:spacing w:after="120" w:before="0"/>
        <w:jc w:val="center"/>
      </w:pPr>
      <w:r>
        <w:rPr>
          <w:b/>
          <w:i w:val="0"/>
          <w:color w:val="C00000"/>
          <w:sz w:val="26"/>
        </w:rPr>
        <w:t>[BRANŞ]</w:t>
      </w:r>
      <w:r>
        <w:rPr>
          <w:b/>
          <w:i w:val="0"/>
          <w:color w:val="1F3B63"/>
          <w:sz w:val="26"/>
        </w:rPr>
        <w:t xml:space="preserve"> DERSİ ZÜMRESİ — DERS YILI BAŞI ZÜMRE TOPLANTI TUTANAĞI</w:t>
      </w:r>
    </w:p>
    <w:tbl>
      <w:tblPr>
        <w:tblStyle w:val="TableGrid"/>
        <w:tblW w:w="10091" w:type="dxa"/>
        <w:jc w:val="center"/>
        <w:tblLayout w:type="fixed"/>
        <w:tblLook w:firstColumn="1" w:firstRow="1" w:lastColumn="0" w:lastRow="0" w:noHBand="0" w:noVBand="1" w:val="04A0"/>
      </w:tblPr>
      <w:tblGrid>
        <w:gridCol w:w="2721"/>
        <w:gridCol w:w="7370"/>
      </w:tblGrid>
      <w:tr>
        <w:tc>
          <w:tcPr>
            <w:tcW w:w="2721" w:type="dxa"/>
            <w:shd w:val="clear" w:fill="F2F2F2"/>
          </w:tcPr>
          <w:p>
            <w:r/>
            <w:r>
              <w:rPr>
                <w:b/>
                <w:i w:val="0"/>
                <w:sz w:val="18"/>
              </w:rPr>
              <w:t>Zümre</w:t>
            </w:r>
          </w:p>
        </w:tc>
        <w:tc>
          <w:tcPr>
            <w:tcW w:w="7370" w:type="dxa"/>
          </w:tcPr>
          <w:p>
            <w:r/>
            <w:r>
              <w:rPr>
                <w:b w:val="0"/>
                <w:i w:val="0"/>
                <w:color w:val="C00000"/>
                <w:sz w:val="18"/>
              </w:rPr>
              <w:t>[Branş]</w:t>
            </w:r>
            <w:r>
              <w:rPr>
                <w:b w:val="0"/>
                <w:i w:val="0"/>
                <w:sz w:val="18"/>
              </w:rPr>
              <w:t xml:space="preserve"> Dersi Zümresi</w:t>
            </w:r>
          </w:p>
        </w:tc>
      </w:tr>
      <w:tr>
        <w:tc>
          <w:tcPr>
            <w:tcW w:w="2721" w:type="dxa"/>
            <w:shd w:val="clear" w:fill="F2F2F2"/>
          </w:tcPr>
          <w:p>
            <w:r/>
            <w:r>
              <w:rPr>
                <w:b/>
                <w:i w:val="0"/>
                <w:sz w:val="18"/>
              </w:rPr>
              <w:t>Toplantı No</w:t>
            </w:r>
          </w:p>
        </w:tc>
        <w:tc>
          <w:tcPr>
            <w:tcW w:w="7370" w:type="dxa"/>
          </w:tcPr>
          <w:p>
            <w:r/>
            <w:r>
              <w:rPr>
                <w:b w:val="0"/>
                <w:i w:val="0"/>
                <w:sz w:val="18"/>
              </w:rPr>
              <w:t>1 (Ders Yılı Başı)</w:t>
            </w:r>
          </w:p>
        </w:tc>
      </w:tr>
      <w:tr>
        <w:tc>
          <w:tcPr>
            <w:tcW w:w="2721" w:type="dxa"/>
            <w:shd w:val="clear" w:fill="F2F2F2"/>
          </w:tcPr>
          <w:p>
            <w:r/>
            <w:r>
              <w:rPr>
                <w:b/>
                <w:i w:val="0"/>
                <w:sz w:val="18"/>
              </w:rPr>
              <w:t>Toplantı Tarihi</w:t>
            </w:r>
          </w:p>
        </w:tc>
        <w:tc>
          <w:tcPr>
            <w:tcW w:w="7370" w:type="dxa"/>
          </w:tcPr>
          <w:p>
            <w:r/>
            <w:r>
              <w:rPr>
                <w:b w:val="0"/>
                <w:i w:val="0"/>
                <w:color w:val="C00000"/>
                <w:sz w:val="18"/>
              </w:rPr>
              <w:t>[……………………]</w:t>
            </w:r>
            <w:r>
              <w:rPr>
                <w:b w:val="0"/>
                <w:i w:val="0"/>
                <w:sz w:val="18"/>
              </w:rPr>
              <w:t>/09/2026</w:t>
            </w:r>
          </w:p>
        </w:tc>
      </w:tr>
      <w:tr>
        <w:tc>
          <w:tcPr>
            <w:tcW w:w="2721" w:type="dxa"/>
            <w:shd w:val="clear" w:fill="F2F2F2"/>
          </w:tcPr>
          <w:p>
            <w:r/>
            <w:r>
              <w:rPr>
                <w:b/>
                <w:i w:val="0"/>
                <w:sz w:val="18"/>
              </w:rPr>
              <w:t>Toplantı Saati / Yeri</w:t>
            </w:r>
          </w:p>
        </w:tc>
        <w:tc>
          <w:tcPr>
            <w:tcW w:w="7370" w:type="dxa"/>
          </w:tcPr>
          <w:p>
            <w:r/>
            <w:r>
              <w:rPr>
                <w:b w:val="0"/>
                <w:i w:val="0"/>
                <w:color w:val="C00000"/>
                <w:sz w:val="18"/>
              </w:rPr>
              <w:t>[……… : ………]</w:t>
            </w:r>
            <w:r>
              <w:rPr>
                <w:b w:val="0"/>
                <w:i w:val="0"/>
                <w:sz w:val="18"/>
              </w:rPr>
              <w:t xml:space="preserve"> / </w:t>
            </w:r>
            <w:r>
              <w:rPr>
                <w:b w:val="0"/>
                <w:i w:val="0"/>
                <w:color w:val="C00000"/>
                <w:sz w:val="18"/>
              </w:rPr>
              <w:t>[…………………………………………]</w:t>
            </w:r>
          </w:p>
        </w:tc>
      </w:tr>
      <w:tr>
        <w:tc>
          <w:tcPr>
            <w:tcW w:w="2721" w:type="dxa"/>
            <w:shd w:val="clear" w:fill="F2F2F2"/>
          </w:tcPr>
          <w:p>
            <w:r/>
            <w:r>
              <w:rPr>
                <w:b/>
                <w:i w:val="0"/>
                <w:sz w:val="18"/>
              </w:rPr>
              <w:t>Toplantıya Katılanlar</w:t>
            </w:r>
          </w:p>
        </w:tc>
        <w:tc>
          <w:tcPr>
            <w:tcW w:w="7370" w:type="dxa"/>
          </w:tcPr>
          <w:p>
            <w:r/>
            <w:r>
              <w:rPr>
                <w:b w:val="0"/>
                <w:i w:val="0"/>
                <w:sz w:val="18"/>
              </w:rPr>
              <w:t>Zümre başkanı ve üyeler (ad-soyadlar imza bölümünde); alanında tek öğretmen bulunan zümrelerde toplantıya katılan müdür/müdür yardımcısı</w:t>
            </w:r>
          </w:p>
        </w:tc>
      </w:tr>
      <w:tr>
        <w:tc>
          <w:tcPr>
            <w:tcW w:w="2721" w:type="dxa"/>
            <w:shd w:val="clear" w:fill="F2F2F2"/>
          </w:tcPr>
          <w:p>
            <w:r/>
            <w:r>
              <w:rPr>
                <w:b/>
                <w:i w:val="0"/>
                <w:sz w:val="18"/>
              </w:rPr>
              <w:t>Toplantı Konusu</w:t>
            </w:r>
          </w:p>
        </w:tc>
        <w:tc>
          <w:tcPr>
            <w:tcW w:w="7370" w:type="dxa"/>
          </w:tcPr>
          <w:p>
            <w:r/>
            <w:r>
              <w:rPr>
                <w:b w:val="0"/>
                <w:i w:val="0"/>
                <w:sz w:val="18"/>
              </w:rPr>
              <w:t>2026-2027 eğitim ve öğretim yılı çalışmalarının mevzuata, öğretim programlarına ve Türkiye Yüzyılı Maarif Modeli'ne uygun olarak planlanması; yıl geneli çerçevenin kurulması</w:t>
            </w:r>
          </w:p>
        </w:tc>
      </w:tr>
    </w:tbl>
    <w:p>
      <w:pPr>
        <w:spacing w:after="40" w:before="0"/>
      </w:pPr>
    </w:p>
    <w:p>
      <w:pPr>
        <w:spacing w:after="80" w:before="160"/>
        <w:keepNext/>
        <w:keepLines/>
      </w:pPr>
      <w:r>
        <w:rPr>
          <w:b/>
          <w:i w:val="0"/>
          <w:color w:val="1F3B63"/>
          <w:sz w:val="22"/>
        </w:rPr>
        <w:t>TOPLANTI GÜNDEMİ</w:t>
      </w:r>
    </w:p>
    <w:p>
      <w:pPr>
        <w:spacing w:after="20" w:before="0"/>
        <w:ind w:left="340" w:hanging="340"/>
        <w:jc w:val="both"/>
      </w:pPr>
      <w:r>
        <w:rPr>
          <w:b w:val="0"/>
          <w:i w:val="0"/>
          <w:sz w:val="18"/>
        </w:rPr>
        <w:t>1. Açılış, yoklama ve yazman seçimi</w:t>
      </w:r>
    </w:p>
    <w:p>
      <w:pPr>
        <w:spacing w:after="20" w:before="0"/>
        <w:ind w:left="340" w:hanging="340"/>
        <w:jc w:val="both"/>
      </w:pPr>
      <w:r>
        <w:rPr>
          <w:b w:val="0"/>
          <w:i w:val="0"/>
          <w:sz w:val="18"/>
        </w:rPr>
        <w:t>2. Bir önceki toplantının (2025-2026 ders yılı sonu) kararları ile okul zümre başkanları kurulu ve ilçe/il zümre kararlarının değerlendirilmesi</w:t>
      </w:r>
    </w:p>
    <w:p>
      <w:pPr>
        <w:spacing w:after="20" w:before="0"/>
        <w:ind w:left="340" w:hanging="340"/>
        <w:jc w:val="both"/>
      </w:pPr>
      <w:r>
        <w:rPr>
          <w:b w:val="0"/>
          <w:i w:val="0"/>
          <w:sz w:val="18"/>
        </w:rPr>
        <w:t>3. Zümre içi iş bölümü ve yıl geneli görev dağılımı çizelgesinin karara bağlanması</w:t>
      </w:r>
    </w:p>
    <w:p>
      <w:pPr>
        <w:spacing w:after="20" w:before="0"/>
        <w:ind w:left="340" w:hanging="340"/>
        <w:jc w:val="both"/>
      </w:pPr>
      <w:r>
        <w:rPr>
          <w:b w:val="0"/>
          <w:i w:val="0"/>
          <w:sz w:val="18"/>
        </w:rPr>
        <w:t>4. İlgili mevzuat ve genelgelerin incelenmesi</w:t>
      </w:r>
    </w:p>
    <w:p>
      <w:pPr>
        <w:spacing w:after="20" w:before="0"/>
        <w:ind w:left="340" w:hanging="340"/>
        <w:jc w:val="both"/>
      </w:pPr>
      <w:r>
        <w:rPr>
          <w:b w:val="0"/>
          <w:i w:val="0"/>
          <w:sz w:val="18"/>
        </w:rPr>
        <w:t>5. Türkiye Yüzyılı Maarif Modeli öğretim programlarının ve ders kitaplarının incelenmesi; TTKB-İDES görüş bildirimi</w:t>
      </w:r>
    </w:p>
    <w:p>
      <w:pPr>
        <w:spacing w:after="20" w:before="0"/>
        <w:ind w:left="340" w:hanging="340"/>
        <w:jc w:val="both"/>
      </w:pPr>
      <w:r>
        <w:rPr>
          <w:b w:val="0"/>
          <w:i w:val="0"/>
          <w:sz w:val="18"/>
        </w:rPr>
        <w:t>6. Yıllık plan ve ders planlarının hazırlanması; Atatürkçülük konularının planlara işlenmesi</w:t>
      </w:r>
    </w:p>
    <w:p>
      <w:pPr>
        <w:spacing w:after="20" w:before="0"/>
        <w:ind w:left="340" w:hanging="340"/>
        <w:jc w:val="both"/>
      </w:pPr>
      <w:r>
        <w:rPr>
          <w:b w:val="0"/>
          <w:i w:val="0"/>
          <w:sz w:val="18"/>
        </w:rPr>
        <w:t>7. Öğretim yöntem ve teknikleri ile öğrenme-öğretme sürecinin planlanması; okul temelli faaliyetler</w:t>
      </w:r>
    </w:p>
    <w:p>
      <w:pPr>
        <w:spacing w:after="20" w:before="0"/>
        <w:ind w:left="340" w:hanging="340"/>
        <w:jc w:val="both"/>
      </w:pPr>
      <w:r>
        <w:rPr>
          <w:b w:val="0"/>
          <w:i w:val="0"/>
          <w:sz w:val="18"/>
        </w:rPr>
        <w:t>8. Ölçme ve değerlendirme planlaması (8-A yazılı sınavlar · 8-B uygulamalı dersler · 8-C dil dersleri · 8-D performans puanları · 8-E proje ve mazeret sınavları · 8-F sınav analizi ve izleme döngüsü)</w:t>
      </w:r>
    </w:p>
    <w:p>
      <w:pPr>
        <w:spacing w:after="20" w:before="0"/>
        <w:ind w:left="340" w:hanging="340"/>
        <w:jc w:val="both"/>
      </w:pPr>
      <w:r>
        <w:rPr>
          <w:b w:val="0"/>
          <w:i w:val="0"/>
          <w:sz w:val="18"/>
        </w:rPr>
        <w:t>9. Özel eğitim ihtiyacı olan öğrenciler: bireyselleştirilmiş eğitim programları ve farklılaştırılmış uygulamalar</w:t>
      </w:r>
    </w:p>
    <w:p>
      <w:pPr>
        <w:spacing w:after="20" w:before="0"/>
        <w:ind w:left="340" w:hanging="340"/>
        <w:jc w:val="both"/>
      </w:pPr>
      <w:r>
        <w:rPr>
          <w:b w:val="0"/>
          <w:i w:val="0"/>
          <w:sz w:val="18"/>
        </w:rPr>
        <w:t>10. Öğrenci başarısını artırma: sınav ve yarışma sonuçlarının değerlendirilmesi ve zümre eylem planı</w:t>
      </w:r>
    </w:p>
    <w:p>
      <w:pPr>
        <w:spacing w:after="20" w:before="0"/>
        <w:ind w:left="340" w:hanging="340"/>
        <w:jc w:val="both"/>
      </w:pPr>
      <w:r>
        <w:rPr>
          <w:b w:val="0"/>
          <w:i w:val="0"/>
          <w:sz w:val="18"/>
        </w:rPr>
        <w:t>11. Ders ziyaretleri ile zümre içi ve zümreler arası iş birliği</w:t>
      </w:r>
    </w:p>
    <w:p>
      <w:pPr>
        <w:spacing w:after="20" w:before="0"/>
        <w:ind w:left="340" w:hanging="340"/>
        <w:jc w:val="both"/>
      </w:pPr>
      <w:r>
        <w:rPr>
          <w:b w:val="0"/>
          <w:i w:val="0"/>
          <w:sz w:val="18"/>
        </w:rPr>
        <w:t>12. Alandaki akademik, bilimsel ve teknolojik gelişmelerin izlenmesi; girişimcilik, araştırma-geliştirme ve tasarım çalışmaları</w:t>
      </w:r>
    </w:p>
    <w:p>
      <w:pPr>
        <w:spacing w:after="20" w:before="0"/>
        <w:ind w:left="340" w:hanging="340"/>
        <w:jc w:val="both"/>
      </w:pPr>
      <w:r>
        <w:rPr>
          <w:b w:val="0"/>
          <w:i w:val="0"/>
          <w:sz w:val="18"/>
        </w:rPr>
        <w:t>13. Araç-gereç, öğretim materyalleri, eğitim ortamlarının etkin kullanımı ve mali kaynak ihtiyaçları</w:t>
      </w:r>
    </w:p>
    <w:p>
      <w:pPr>
        <w:spacing w:after="20" w:before="0"/>
        <w:ind w:left="340" w:hanging="340"/>
        <w:jc w:val="both"/>
      </w:pPr>
      <w:r>
        <w:rPr>
          <w:b w:val="0"/>
          <w:i w:val="0"/>
          <w:sz w:val="18"/>
        </w:rPr>
        <w:t>14. Deney, proje, anket, araştırma, gezi ve gözlemler; okul dışı öğrenme ortamları</w:t>
      </w:r>
    </w:p>
    <w:p>
      <w:pPr>
        <w:spacing w:after="20" w:before="0"/>
        <w:ind w:left="340" w:hanging="340"/>
        <w:jc w:val="both"/>
      </w:pPr>
      <w:r>
        <w:rPr>
          <w:b w:val="0"/>
          <w:i w:val="0"/>
          <w:sz w:val="18"/>
        </w:rPr>
        <w:t>15. Üst düzey düşünme ve sosyal-duygusal beceriler; çoklu okuryazarlık; millî, manevi ve ahlaki değerlerin kazandırılması</w:t>
      </w:r>
    </w:p>
    <w:p>
      <w:pPr>
        <w:spacing w:after="20" w:before="0"/>
        <w:ind w:left="340" w:hanging="340"/>
        <w:jc w:val="both"/>
      </w:pPr>
      <w:r>
        <w:rPr>
          <w:b w:val="0"/>
          <w:i w:val="0"/>
          <w:sz w:val="18"/>
        </w:rPr>
        <w:t>16. Önleme, müdahale ve yönlendirme komisyonu kapsamında yürütülecek çalışmaların planlanması</w:t>
      </w:r>
    </w:p>
    <w:p>
      <w:pPr>
        <w:spacing w:after="20" w:before="0"/>
        <w:ind w:left="340" w:hanging="340"/>
        <w:jc w:val="both"/>
      </w:pPr>
      <w:r>
        <w:rPr>
          <w:b w:val="0"/>
          <w:i w:val="0"/>
          <w:sz w:val="18"/>
        </w:rPr>
        <w:t>17. Disiplinler arası yaklaşım ve ortak çalışmaların takvime bağlanması</w:t>
      </w:r>
    </w:p>
    <w:p>
      <w:pPr>
        <w:spacing w:after="20" w:before="0"/>
        <w:ind w:left="340" w:hanging="340"/>
        <w:jc w:val="both"/>
      </w:pPr>
      <w:r>
        <w:rPr>
          <w:b w:val="0"/>
          <w:i w:val="0"/>
          <w:sz w:val="18"/>
        </w:rPr>
        <w:t>18. Sosyal sorumluluk programı kapsamında ders bazında yürütülebilecek faaliyetler</w:t>
      </w:r>
    </w:p>
    <w:p>
      <w:pPr>
        <w:spacing w:after="20" w:before="0"/>
        <w:ind w:left="340" w:hanging="340"/>
        <w:jc w:val="both"/>
      </w:pPr>
      <w:r>
        <w:rPr>
          <w:b w:val="0"/>
          <w:i w:val="0"/>
          <w:sz w:val="18"/>
        </w:rPr>
        <w:t>19. İş sağlığı ve güvenliği tedbirlerinin değerlendirilmesi</w:t>
      </w:r>
    </w:p>
    <w:p>
      <w:pPr>
        <w:spacing w:after="20" w:before="0"/>
        <w:ind w:left="340" w:hanging="340"/>
        <w:jc w:val="both"/>
      </w:pPr>
      <w:r>
        <w:rPr>
          <w:b w:val="0"/>
          <w:i w:val="0"/>
          <w:sz w:val="18"/>
        </w:rPr>
        <w:t>20. Dilek, temenniler ve kapanış</w:t>
      </w:r>
    </w:p>
    <w:p>
      <w:pPr>
        <w:spacing w:after="80" w:before="200"/>
        <w:keepNext/>
        <w:keepLines/>
      </w:pPr>
      <w:r>
        <w:rPr>
          <w:b/>
          <w:i w:val="0"/>
          <w:color w:val="1F3B63"/>
          <w:sz w:val="22"/>
        </w:rPr>
        <w:t>GÜNDEM MADDELERİNİN GÖRÜŞÜLMESİ VE ALINAN KARARLAR</w:t>
      </w:r>
    </w:p>
    <w:p>
      <w:pPr>
        <w:spacing w:before="200" w:after="60"/>
        <w:keepNext/>
        <w:keepLines/>
      </w:pPr>
      <w:r>
        <w:rPr>
          <w:b/>
          <w:i w:val="0"/>
          <w:color w:val="1F3B63"/>
          <w:sz w:val="21"/>
        </w:rPr>
        <w:t>1. Açılış, yoklama ve yazman seçimi</w:t>
      </w:r>
    </w:p>
    <w:p>
      <w:pPr>
        <w:spacing w:after="80" w:before="0"/>
        <w:jc w:val="both"/>
      </w:pPr>
      <w:r>
        <w:rPr>
          <w:b w:val="0"/>
          <w:i w:val="0"/>
          <w:sz w:val="20"/>
        </w:rPr>
        <w:t xml:space="preserve">Zümre başkanı </w:t>
      </w:r>
      <w:r>
        <w:rPr>
          <w:b w:val="0"/>
          <w:i w:val="0"/>
          <w:color w:val="C00000"/>
          <w:sz w:val="20"/>
        </w:rPr>
        <w:t>[Ad SOYAD]</w:t>
      </w:r>
      <w:r>
        <w:rPr>
          <w:b w:val="0"/>
          <w:i w:val="0"/>
          <w:sz w:val="20"/>
        </w:rPr>
        <w:t xml:space="preserve"> toplantıyı açtı. Yapılan yoklamada zümrenin </w:t>
      </w:r>
      <w:r>
        <w:rPr>
          <w:b w:val="0"/>
          <w:i w:val="0"/>
          <w:color w:val="C00000"/>
          <w:sz w:val="20"/>
        </w:rPr>
        <w:t>[……………………]</w:t>
      </w:r>
      <w:r>
        <w:rPr>
          <w:b w:val="0"/>
          <w:i w:val="0"/>
          <w:sz w:val="20"/>
        </w:rPr>
        <w:t xml:space="preserve"> üyesinden </w:t>
      </w:r>
      <w:r>
        <w:rPr>
          <w:b w:val="0"/>
          <w:i w:val="0"/>
          <w:color w:val="C00000"/>
          <w:sz w:val="20"/>
        </w:rPr>
        <w:t>[……………………]</w:t>
      </w:r>
      <w:r>
        <w:rPr>
          <w:b w:val="0"/>
          <w:i w:val="0"/>
          <w:sz w:val="20"/>
        </w:rPr>
        <w:t xml:space="preserve">'inin toplantıda hazır bulunduğu, </w:t>
      </w:r>
      <w:r>
        <w:rPr>
          <w:b w:val="0"/>
          <w:i w:val="0"/>
          <w:color w:val="C00000"/>
          <w:sz w:val="20"/>
        </w:rPr>
        <w:t>[……………………]</w:t>
      </w:r>
      <w:r>
        <w:rPr>
          <w:b w:val="0"/>
          <w:i w:val="0"/>
          <w:sz w:val="20"/>
        </w:rPr>
        <w:t xml:space="preserve"> üyenin </w:t>
      </w:r>
      <w:r>
        <w:rPr>
          <w:b w:val="0"/>
          <w:i w:val="0"/>
          <w:color w:val="C00000"/>
          <w:sz w:val="20"/>
        </w:rPr>
        <w:t>[izin/rapor/görevlendirme]</w:t>
      </w:r>
      <w:r>
        <w:rPr>
          <w:b w:val="0"/>
          <w:i w:val="0"/>
          <w:sz w:val="20"/>
        </w:rPr>
        <w:t xml:space="preserve"> nedeniyle katılamadığı görüldü.</w:t>
      </w:r>
    </w:p>
    <w:p>
      <w:pPr>
        <w:spacing w:after="80" w:before="0"/>
        <w:jc w:val="both"/>
      </w:pPr>
      <w:r>
        <w:rPr>
          <w:b w:val="0"/>
          <w:i w:val="0"/>
          <w:sz w:val="20"/>
        </w:rPr>
        <w:t xml:space="preserve">Başkan, Millî Eğitim Bakanlığı Eğitim Kurulları ve Zümreleri Yönergesinin 12 nci maddesinin birinci ve ikinci fıkraları gereğince zümre başkanının haziran ayındaki toplantıda eylül ayından geçerli olmak üzere iki yıl süreyle seçildiğini ve MEBBİS'e işlendiğini, zorunlu hâller dışında yıl içinde değişiklik yapılamayacağını hatırlattı; 2026 haziran toplantısında yapılan seçim uyarınca zümre başkanlığının </w:t>
      </w:r>
      <w:r>
        <w:rPr>
          <w:b w:val="0"/>
          <w:i w:val="0"/>
          <w:color w:val="C00000"/>
          <w:sz w:val="20"/>
        </w:rPr>
        <w:t>[Ad SOYAD]</w:t>
      </w:r>
      <w:r>
        <w:rPr>
          <w:b w:val="0"/>
          <w:i w:val="0"/>
          <w:sz w:val="20"/>
        </w:rPr>
        <w:t xml:space="preserve">, yedek başkanlığın </w:t>
      </w:r>
      <w:r>
        <w:rPr>
          <w:b w:val="0"/>
          <w:i w:val="0"/>
          <w:color w:val="C00000"/>
          <w:sz w:val="20"/>
        </w:rPr>
        <w:t>[Ad SOYAD]</w:t>
      </w:r>
      <w:r>
        <w:rPr>
          <w:b w:val="0"/>
          <w:i w:val="0"/>
          <w:sz w:val="20"/>
        </w:rPr>
        <w:t xml:space="preserve"> tarafından yürütüldüğü kayda geçirildi.</w:t>
      </w:r>
    </w:p>
    <w:p>
      <w:pPr>
        <w:spacing w:after="80" w:before="0"/>
        <w:jc w:val="both"/>
      </w:pPr>
      <w:r>
        <w:rPr>
          <w:b w:val="0"/>
          <w:i w:val="0"/>
          <w:sz w:val="20"/>
        </w:rPr>
        <w:t>Başkan, ders yılı başı zümre toplantısının niteliği üzerinde durdu: bu toplantının tutanağı, dersin mevcut durumunun (önceki yılın başarı ve sınav analizleri, öğrenme eksikleri, öğrenci profili, araç-gereç ve ortam imkânları) analiz edildiği ve buna bağlı olarak ders yılının ayrıntılı biçimde planlandığı belgedir; yıl boyunca yürütülecek işlerin çerçevesi burada kurulur, kasım, ikinci dönem başı ve nisan toplantıları ile denetim ve rehberlik çalışmaları bu çerçeveye dayanır. Bu nedenle toplantının bu hususa dikkat edilerek özenle yapılması; görüşülen her hususun ve alınan her kararın sorumlusu ve tarihi belirtilerek ayrıntılı biçimde tutanak altına alınması; geçen yılın metnini tekrar eden biçimsel bir tutanak düzenlenmemesi gerektiği vurgulandı.</w:t>
      </w:r>
    </w:p>
    <w:p>
      <w:pPr>
        <w:spacing w:after="80" w:before="0"/>
        <w:jc w:val="both"/>
      </w:pPr>
      <w:r>
        <w:rPr>
          <w:b w:val="0"/>
          <w:i w:val="0"/>
          <w:sz w:val="20"/>
        </w:rPr>
        <w:t>Toplantı tutanağının yazılması için yazman seçimine geçildi.</w:t>
      </w:r>
    </w:p>
    <w:p>
      <w:pPr>
        <w:spacing w:before="60" w:after="100"/>
        <w:ind w:left="340"/>
        <w:jc w:val="both"/>
      </w:pPr>
      <w:r>
        <w:rPr>
          <w:b/>
          <w:color w:val="1F3B63"/>
          <w:sz w:val="20"/>
        </w:rPr>
        <w:t xml:space="preserve">KARAR 1 — </w:t>
      </w:r>
      <w:r>
        <w:rPr>
          <w:b w:val="0"/>
          <w:i w:val="0"/>
          <w:sz w:val="20"/>
        </w:rPr>
        <w:t xml:space="preserve">Toplantı tutanağının </w:t>
      </w:r>
      <w:r>
        <w:rPr>
          <w:b w:val="0"/>
          <w:i w:val="0"/>
          <w:color w:val="C00000"/>
          <w:sz w:val="20"/>
        </w:rPr>
        <w:t>[Ad SOYAD]</w:t>
      </w:r>
      <w:r>
        <w:rPr>
          <w:b w:val="0"/>
          <w:i w:val="0"/>
          <w:sz w:val="20"/>
        </w:rPr>
        <w:t xml:space="preserve"> tarafından yazılmasına ve alınan kararların numaralandırılarak kayda geçirilmesine karar verildi.</w:t>
      </w:r>
    </w:p>
    <w:p>
      <w:pPr>
        <w:spacing w:before="200" w:after="60"/>
        <w:keepNext/>
        <w:keepLines/>
      </w:pPr>
      <w:r>
        <w:rPr>
          <w:b/>
          <w:i w:val="0"/>
          <w:color w:val="1F3B63"/>
          <w:sz w:val="21"/>
        </w:rPr>
        <w:t>2. Önceki toplantı kararlarının ve üst kurul/zümre kararlarının değerlendirilmesi</w:t>
      </w:r>
    </w:p>
    <w:p>
      <w:pPr>
        <w:spacing w:after="80" w:before="0"/>
        <w:jc w:val="both"/>
      </w:pPr>
      <w:r>
        <w:rPr>
          <w:b w:val="0"/>
          <w:i w:val="0"/>
          <w:sz w:val="20"/>
        </w:rPr>
        <w:t xml:space="preserve">Yönergenin 12 nci maddesinin sekizinci fıkrasının (a) bendi gereğince bir önceki toplantıya ait kararların incelenmesine geçildi. 2025-2026 ders yılı sonu zümre toplantısında alınan kararlar numara sırasıyla okundu; gerçekleşen kararlar kanıtlarıyla kapatıldı, gerçekleşmeyen </w:t>
      </w:r>
      <w:r>
        <w:rPr>
          <w:b w:val="0"/>
          <w:i w:val="0"/>
          <w:color w:val="C00000"/>
          <w:sz w:val="20"/>
        </w:rPr>
        <w:t>[……………………]</w:t>
      </w:r>
      <w:r>
        <w:rPr>
          <w:b w:val="0"/>
          <w:i w:val="0"/>
          <w:sz w:val="20"/>
        </w:rPr>
        <w:t xml:space="preserve"> kararın gerekçeleri (</w:t>
      </w:r>
      <w:r>
        <w:rPr>
          <w:b w:val="0"/>
          <w:i w:val="0"/>
          <w:color w:val="C00000"/>
          <w:sz w:val="20"/>
        </w:rPr>
        <w:t>[…………………………………………]</w:t>
      </w:r>
      <w:r>
        <w:rPr>
          <w:b w:val="0"/>
          <w:i w:val="0"/>
          <w:sz w:val="20"/>
        </w:rPr>
        <w:t>) kayda geçirildi.</w:t>
      </w:r>
    </w:p>
    <w:p>
      <w:pPr>
        <w:spacing w:after="80" w:before="0"/>
        <w:jc w:val="both"/>
      </w:pPr>
      <w:r>
        <w:rPr>
          <w:b w:val="0"/>
          <w:i w:val="0"/>
          <w:sz w:val="20"/>
        </w:rPr>
        <w:t xml:space="preserve">Aynı maddenin 13 üncü maddesinin beşinci fıkrası uyarınca okul zümre başkanları kurulunda alınan kararların zümrede yeniden değerlendirilerek gereğinin yapılması gerektiği belirtildi; kurulun </w:t>
      </w:r>
      <w:r>
        <w:rPr>
          <w:b w:val="0"/>
          <w:i w:val="0"/>
          <w:color w:val="C00000"/>
          <w:sz w:val="20"/>
        </w:rPr>
        <w:t>[……………………]</w:t>
      </w:r>
      <w:r>
        <w:rPr>
          <w:b w:val="0"/>
          <w:i w:val="0"/>
          <w:sz w:val="20"/>
        </w:rPr>
        <w:t xml:space="preserve"> tarihli toplantısından zümreyi ilgilendiren kararlar ile öğretmenler kurulunun plan teslim tarihi ve ortak takvimlere ilişkin kararları okundu.</w:t>
      </w:r>
    </w:p>
    <w:p>
      <w:pPr>
        <w:spacing w:after="80" w:before="0"/>
        <w:jc w:val="both"/>
      </w:pPr>
      <w:r>
        <w:rPr>
          <w:b w:val="0"/>
          <w:i w:val="0"/>
          <w:sz w:val="20"/>
        </w:rPr>
        <w:t>İlçe ve il alan zümresi kararlarından okul uygulamasına yansıyanlar gözden geçirildi; alanında tek öğretmen bulunan zümrelerde ilçe alan zümresi kararlarının bu maddede tutanağa taşınacağı hatırlatıldı.</w:t>
      </w:r>
    </w:p>
    <w:p>
      <w:pPr>
        <w:spacing w:before="60" w:after="100"/>
        <w:ind w:left="340"/>
        <w:jc w:val="both"/>
      </w:pPr>
      <w:r>
        <w:rPr>
          <w:b/>
          <w:color w:val="1F3B63"/>
          <w:sz w:val="20"/>
        </w:rPr>
        <w:t xml:space="preserve">KARAR 2 — </w:t>
      </w:r>
      <w:r>
        <w:rPr>
          <w:b w:val="0"/>
          <w:i w:val="0"/>
          <w:sz w:val="20"/>
        </w:rPr>
        <w:t>Geçen ders yılından gerçekleşmeden kalan kararların, sorumlusu ve yeni tarihi belirlenerek bu tutanağın sonundaki görev ve izleme tablosuna taşınmasına; okul zümre başkanları kurulu ile ilçe/il alan zümresi kararlarının ilgili gündem maddelerinde uygulamaya yansıtılmasına karar verildi.</w:t>
      </w:r>
    </w:p>
    <w:p>
      <w:pPr>
        <w:spacing w:before="200" w:after="60"/>
        <w:keepNext/>
        <w:keepLines/>
      </w:pPr>
      <w:r>
        <w:rPr>
          <w:b/>
          <w:i w:val="0"/>
          <w:color w:val="1F3B63"/>
          <w:sz w:val="21"/>
        </w:rPr>
        <w:t>3. Zümre içi iş bölümü ve yıl geneli görev dağılımı</w:t>
      </w:r>
    </w:p>
    <w:p>
      <w:pPr>
        <w:spacing w:after="80" w:before="0"/>
        <w:jc w:val="both"/>
      </w:pPr>
      <w:r>
        <w:rPr>
          <w:b w:val="0"/>
          <w:i w:val="0"/>
          <w:sz w:val="20"/>
        </w:rPr>
        <w:t>Ders yılı başı zümresinin bütün yılın çerçevesini kurduğu; yıl boyunca tekrarlanan işlerin sorumlularının bu maddede tek çizelgede belirlenmesi hâlinde sonraki maddelerdeki kararların 'kimin yapacağı' sorusuna takılmayacağı belirtildi. İş bölümünün, okul geneli ortak sınav sorularının ve cevap anahtarlarının zümrece hazırlanmasını öngören Ortaöğretim Kurumları Yönetmeliğinin 45 inci maddesinin birinci fıkrasının (b) bendi, yıllık planın zümrece ortak hazırlanmasını öngören Planlı Yürütülme Yönergesinin 9 uncu maddesi ve performans ölçeklerinin zümre kararıyla belirlenmesini öngören 50 nci maddenin sekizinci fıkrası bakımından zorunlu olduğu değerlendirildi.</w:t>
      </w:r>
    </w:p>
    <w:p>
      <w:pPr>
        <w:spacing w:after="80" w:before="0"/>
        <w:jc w:val="both"/>
      </w:pPr>
      <w:r>
        <w:rPr>
          <w:b w:val="0"/>
          <w:i w:val="0"/>
          <w:sz w:val="20"/>
        </w:rPr>
        <w:t>Yapılan görüşme sonucunda aşağıdaki çizelge oluşturuldu. Birden fazla öğretmenin bulunduğu zümrelerde işler sınıf düzeyi ve şube bazında dengeli paylaştırılmış; alanında tek öğretmen bulunan zümrelerde bütün satırlara aynı ad yazılmıştır.</w:t>
      </w:r>
    </w:p>
    <w:tbl>
      <w:tblPr>
        <w:tblStyle w:val="TableGrid"/>
        <w:tblW w:w="10092" w:type="dxa"/>
        <w:jc w:val="center"/>
        <w:tblLayout w:type="fixed"/>
        <w:tblLook w:firstColumn="1" w:firstRow="1" w:lastColumn="0" w:lastRow="0" w:noHBand="0" w:noVBand="1" w:val="04A0"/>
      </w:tblPr>
      <w:tblGrid>
        <w:gridCol w:w="4876"/>
        <w:gridCol w:w="1814"/>
        <w:gridCol w:w="3402"/>
      </w:tblGrid>
      <w:tr>
        <w:tc>
          <w:tcPr>
            <w:tcW w:w="4876" w:type="dxa"/>
            <w:shd w:val="clear" w:fill="F2F2F2"/>
          </w:tcPr>
          <w:p>
            <w:r/>
            <w:r>
              <w:rPr>
                <w:b/>
                <w:i w:val="0"/>
                <w:sz w:val="18"/>
              </w:rPr>
              <w:t>Görev alanı</w:t>
            </w:r>
          </w:p>
        </w:tc>
        <w:tc>
          <w:tcPr>
            <w:tcW w:w="1814" w:type="dxa"/>
            <w:shd w:val="clear" w:fill="F2F2F2"/>
          </w:tcPr>
          <w:p>
            <w:r/>
            <w:r>
              <w:rPr>
                <w:b/>
                <w:i w:val="0"/>
                <w:sz w:val="18"/>
              </w:rPr>
              <w:t>Sorumlu üye(ler)</w:t>
            </w:r>
          </w:p>
        </w:tc>
        <w:tc>
          <w:tcPr>
            <w:tcW w:w="3402" w:type="dxa"/>
            <w:shd w:val="clear" w:fill="F2F2F2"/>
          </w:tcPr>
          <w:p>
            <w:r/>
            <w:r>
              <w:rPr>
                <w:b/>
                <w:i w:val="0"/>
                <w:sz w:val="18"/>
              </w:rPr>
              <w:t>Açıklama</w:t>
            </w:r>
          </w:p>
        </w:tc>
      </w:tr>
      <w:tr>
        <w:tc>
          <w:tcPr>
            <w:tcW w:w="4876" w:type="dxa"/>
          </w:tcPr>
          <w:p>
            <w:r/>
            <w:r>
              <w:rPr>
                <w:b w:val="0"/>
                <w:i w:val="0"/>
                <w:sz w:val="18"/>
              </w:rPr>
              <w:t>Yıllık planların hazırlanma koordinasyonu (9 / 10 / 11 / 12. sınıf paylaşımı)</w:t>
            </w:r>
          </w:p>
        </w:tc>
        <w:tc>
          <w:tcPr>
            <w:tcW w:w="1814" w:type="dxa"/>
          </w:tcPr>
          <w:p>
            <w:r/>
            <w:r>
              <w:rPr>
                <w:b w:val="0"/>
                <w:i w:val="0"/>
                <w:color w:val="C00000"/>
                <w:sz w:val="18"/>
              </w:rPr>
              <w:t>[……………………]</w:t>
            </w:r>
          </w:p>
        </w:tc>
        <w:tc>
          <w:tcPr>
            <w:tcW w:w="3402" w:type="dxa"/>
          </w:tcPr>
          <w:p>
            <w:r/>
            <w:r>
              <w:rPr>
                <w:b w:val="0"/>
                <w:i w:val="0"/>
                <w:sz w:val="18"/>
              </w:rPr>
              <w:t>Zümrece ortak hazırlanır, ders yılı başında okul yönetimine sunulur</w:t>
            </w:r>
          </w:p>
        </w:tc>
      </w:tr>
      <w:tr>
        <w:tc>
          <w:tcPr>
            <w:tcW w:w="4876" w:type="dxa"/>
          </w:tcPr>
          <w:p>
            <w:r/>
            <w:r>
              <w:rPr>
                <w:b w:val="0"/>
                <w:i w:val="0"/>
                <w:sz w:val="18"/>
              </w:rPr>
              <w:t>Konu soru dağılım tablolarının temini, zümreye duyurulması ve okul yönetimine teslimi</w:t>
            </w:r>
          </w:p>
        </w:tc>
        <w:tc>
          <w:tcPr>
            <w:tcW w:w="1814" w:type="dxa"/>
          </w:tcPr>
          <w:p>
            <w:r/>
            <w:r>
              <w:rPr>
                <w:b w:val="0"/>
                <w:i w:val="0"/>
                <w:color w:val="C00000"/>
                <w:sz w:val="18"/>
              </w:rPr>
              <w:t>[……………………]</w:t>
            </w:r>
          </w:p>
        </w:tc>
        <w:tc>
          <w:tcPr>
            <w:tcW w:w="3402" w:type="dxa"/>
          </w:tcPr>
          <w:p>
            <w:r/>
            <w:r>
              <w:rPr>
                <w:b w:val="0"/>
                <w:i w:val="0"/>
                <w:sz w:val="18"/>
              </w:rPr>
              <w:t>Tabloları il sınıf/alan zümresi hazırlar; zümre tabloya uygun soru hazırlar</w:t>
            </w:r>
          </w:p>
        </w:tc>
      </w:tr>
      <w:tr>
        <w:tc>
          <w:tcPr>
            <w:tcW w:w="4876" w:type="dxa"/>
          </w:tcPr>
          <w:p>
            <w:r/>
            <w:r>
              <w:rPr>
                <w:b w:val="0"/>
                <w:i w:val="0"/>
                <w:sz w:val="18"/>
              </w:rPr>
              <w:t>Okul geneli ortak sınav soruları, cevap anahtarları ve puanlama araçları</w:t>
            </w:r>
          </w:p>
        </w:tc>
        <w:tc>
          <w:tcPr>
            <w:tcW w:w="1814" w:type="dxa"/>
          </w:tcPr>
          <w:p>
            <w:r/>
            <w:r>
              <w:rPr>
                <w:b w:val="0"/>
                <w:i w:val="0"/>
                <w:color w:val="C00000"/>
                <w:sz w:val="18"/>
              </w:rPr>
              <w:t>[……………………]</w:t>
            </w:r>
          </w:p>
        </w:tc>
        <w:tc>
          <w:tcPr>
            <w:tcW w:w="3402" w:type="dxa"/>
          </w:tcPr>
          <w:p>
            <w:r/>
            <w:r>
              <w:rPr>
                <w:b w:val="0"/>
                <w:i w:val="0"/>
                <w:sz w:val="18"/>
              </w:rPr>
              <w:t>Sınav ve sınıf düzeyi bazında</w:t>
            </w:r>
          </w:p>
        </w:tc>
      </w:tr>
      <w:tr>
        <w:tc>
          <w:tcPr>
            <w:tcW w:w="4876" w:type="dxa"/>
          </w:tcPr>
          <w:p>
            <w:r/>
            <w:r>
              <w:rPr>
                <w:b w:val="0"/>
                <w:i w:val="0"/>
                <w:sz w:val="18"/>
              </w:rPr>
              <w:t>Sınav analiz raporlarının ve telafi planlarının derlenmesi</w:t>
            </w:r>
          </w:p>
        </w:tc>
        <w:tc>
          <w:tcPr>
            <w:tcW w:w="1814" w:type="dxa"/>
          </w:tcPr>
          <w:p>
            <w:r/>
            <w:r>
              <w:rPr>
                <w:b w:val="0"/>
                <w:i w:val="0"/>
                <w:color w:val="C00000"/>
                <w:sz w:val="18"/>
              </w:rPr>
              <w:t>[……………………]</w:t>
            </w:r>
          </w:p>
        </w:tc>
        <w:tc>
          <w:tcPr>
            <w:tcW w:w="3402" w:type="dxa"/>
          </w:tcPr>
          <w:p>
            <w:r/>
            <w:r>
              <w:rPr>
                <w:b w:val="0"/>
                <w:i w:val="0"/>
                <w:sz w:val="18"/>
              </w:rPr>
              <w:t>Her sınav penceresinden sonra</w:t>
            </w:r>
          </w:p>
        </w:tc>
      </w:tr>
      <w:tr>
        <w:tc>
          <w:tcPr>
            <w:tcW w:w="4876" w:type="dxa"/>
          </w:tcPr>
          <w:p>
            <w:r/>
            <w:r>
              <w:rPr>
                <w:b w:val="0"/>
                <w:i w:val="0"/>
                <w:sz w:val="18"/>
              </w:rPr>
              <w:t>Performans ölçeklerinin ve kanıt dosyalarının standartlaştırılması</w:t>
            </w:r>
          </w:p>
        </w:tc>
        <w:tc>
          <w:tcPr>
            <w:tcW w:w="1814" w:type="dxa"/>
          </w:tcPr>
          <w:p>
            <w:r/>
            <w:r>
              <w:rPr>
                <w:b w:val="0"/>
                <w:i w:val="0"/>
                <w:color w:val="C00000"/>
                <w:sz w:val="18"/>
              </w:rPr>
              <w:t>[……………………]</w:t>
            </w:r>
          </w:p>
        </w:tc>
        <w:tc>
          <w:tcPr>
            <w:tcW w:w="3402" w:type="dxa"/>
          </w:tcPr>
          <w:p>
            <w:r/>
            <w:r>
              <w:rPr>
                <w:b w:val="0"/>
                <w:i w:val="0"/>
                <w:sz w:val="18"/>
              </w:rPr>
              <w:t>P1 ve P2 ölçekleri; dönem başında duyuru</w:t>
            </w:r>
          </w:p>
        </w:tc>
      </w:tr>
      <w:tr>
        <w:tc>
          <w:tcPr>
            <w:tcW w:w="4876" w:type="dxa"/>
          </w:tcPr>
          <w:p>
            <w:r/>
            <w:r>
              <w:rPr>
                <w:b w:val="0"/>
                <w:i w:val="0"/>
                <w:sz w:val="18"/>
              </w:rPr>
              <w:t>Proje konu havuzu, teslim takvimi ve dereceli puanlama anahtarları</w:t>
            </w:r>
          </w:p>
        </w:tc>
        <w:tc>
          <w:tcPr>
            <w:tcW w:w="1814" w:type="dxa"/>
          </w:tcPr>
          <w:p>
            <w:r/>
            <w:r>
              <w:rPr>
                <w:b w:val="0"/>
                <w:i w:val="0"/>
                <w:color w:val="C00000"/>
                <w:sz w:val="18"/>
              </w:rPr>
              <w:t>[……………………]</w:t>
            </w:r>
          </w:p>
        </w:tc>
        <w:tc>
          <w:tcPr>
            <w:tcW w:w="3402" w:type="dxa"/>
          </w:tcPr>
          <w:p>
            <w:r/>
          </w:p>
        </w:tc>
      </w:tr>
      <w:tr>
        <w:tc>
          <w:tcPr>
            <w:tcW w:w="4876" w:type="dxa"/>
          </w:tcPr>
          <w:p>
            <w:r/>
            <w:r>
              <w:rPr>
                <w:b w:val="0"/>
                <w:i w:val="0"/>
                <w:sz w:val="18"/>
              </w:rPr>
              <w:t>Merkezî ortak sınav senaryosu ve konu soru dağılım tablosu duyurularının takibi</w:t>
            </w:r>
          </w:p>
        </w:tc>
        <w:tc>
          <w:tcPr>
            <w:tcW w:w="1814" w:type="dxa"/>
          </w:tcPr>
          <w:p>
            <w:r/>
            <w:r>
              <w:rPr>
                <w:b w:val="0"/>
                <w:i w:val="0"/>
                <w:color w:val="C00000"/>
                <w:sz w:val="18"/>
              </w:rPr>
              <w:t>[Zümre başkanı]</w:t>
            </w:r>
          </w:p>
        </w:tc>
        <w:tc>
          <w:tcPr>
            <w:tcW w:w="3402" w:type="dxa"/>
          </w:tcPr>
          <w:p>
            <w:r/>
            <w:r>
              <w:rPr>
                <w:b w:val="0"/>
                <w:i w:val="0"/>
                <w:sz w:val="18"/>
              </w:rPr>
              <w:t>Bakanlık ile il/ilçe millî eğitim müdürlüğü duyuruları</w:t>
            </w:r>
          </w:p>
        </w:tc>
      </w:tr>
      <w:tr>
        <w:tc>
          <w:tcPr>
            <w:tcW w:w="4876" w:type="dxa"/>
          </w:tcPr>
          <w:p>
            <w:r/>
            <w:r>
              <w:rPr>
                <w:b w:val="0"/>
                <w:i w:val="0"/>
                <w:sz w:val="18"/>
              </w:rPr>
              <w:t>TTKB-İDES görüş girişleri ve ders kitabı geri bildirimleri</w:t>
            </w:r>
          </w:p>
        </w:tc>
        <w:tc>
          <w:tcPr>
            <w:tcW w:w="1814" w:type="dxa"/>
          </w:tcPr>
          <w:p>
            <w:r/>
            <w:r>
              <w:rPr>
                <w:b w:val="0"/>
                <w:i w:val="0"/>
                <w:color w:val="C00000"/>
                <w:sz w:val="18"/>
              </w:rPr>
              <w:t>[……………………]</w:t>
            </w:r>
          </w:p>
        </w:tc>
        <w:tc>
          <w:tcPr>
            <w:tcW w:w="3402" w:type="dxa"/>
          </w:tcPr>
          <w:p>
            <w:r/>
          </w:p>
        </w:tc>
      </w:tr>
      <w:tr>
        <w:tc>
          <w:tcPr>
            <w:tcW w:w="4876" w:type="dxa"/>
          </w:tcPr>
          <w:p>
            <w:r/>
            <w:r>
              <w:rPr>
                <w:b w:val="0"/>
                <w:i w:val="0"/>
                <w:sz w:val="18"/>
              </w:rPr>
              <w:t>Yarışma, etkinlik ve okul dışı öğrenme koordinasyonu</w:t>
            </w:r>
          </w:p>
        </w:tc>
        <w:tc>
          <w:tcPr>
            <w:tcW w:w="1814" w:type="dxa"/>
          </w:tcPr>
          <w:p>
            <w:r/>
            <w:r>
              <w:rPr>
                <w:b w:val="0"/>
                <w:i w:val="0"/>
                <w:color w:val="C00000"/>
                <w:sz w:val="18"/>
              </w:rPr>
              <w:t>[……………………]</w:t>
            </w:r>
          </w:p>
        </w:tc>
        <w:tc>
          <w:tcPr>
            <w:tcW w:w="3402" w:type="dxa"/>
          </w:tcPr>
          <w:p>
            <w:r/>
          </w:p>
        </w:tc>
      </w:tr>
      <w:tr>
        <w:tc>
          <w:tcPr>
            <w:tcW w:w="4876" w:type="dxa"/>
          </w:tcPr>
          <w:p>
            <w:r/>
            <w:r>
              <w:rPr>
                <w:b w:val="0"/>
                <w:i w:val="0"/>
                <w:sz w:val="18"/>
              </w:rPr>
              <w:t>Araç-gereç, materyal ve eğitim ortamı ihtiyaç listesi</w:t>
            </w:r>
          </w:p>
        </w:tc>
        <w:tc>
          <w:tcPr>
            <w:tcW w:w="1814" w:type="dxa"/>
          </w:tcPr>
          <w:p>
            <w:r/>
            <w:r>
              <w:rPr>
                <w:b w:val="0"/>
                <w:i w:val="0"/>
                <w:color w:val="C00000"/>
                <w:sz w:val="18"/>
              </w:rPr>
              <w:t>[……………………]</w:t>
            </w:r>
          </w:p>
        </w:tc>
        <w:tc>
          <w:tcPr>
            <w:tcW w:w="3402" w:type="dxa"/>
          </w:tcPr>
          <w:p>
            <w:r/>
          </w:p>
        </w:tc>
      </w:tr>
      <w:tr>
        <w:tc>
          <w:tcPr>
            <w:tcW w:w="4876" w:type="dxa"/>
          </w:tcPr>
          <w:p>
            <w:r/>
            <w:r>
              <w:rPr>
                <w:b w:val="0"/>
                <w:i w:val="0"/>
                <w:sz w:val="18"/>
              </w:rPr>
              <w:t>e-Okul girişlerinin (sınav tarihi ilanı, puanlar) zamanında yapıldığının kontrolü</w:t>
            </w:r>
          </w:p>
        </w:tc>
        <w:tc>
          <w:tcPr>
            <w:tcW w:w="1814" w:type="dxa"/>
          </w:tcPr>
          <w:p>
            <w:r/>
            <w:r>
              <w:rPr>
                <w:b w:val="0"/>
                <w:i w:val="0"/>
                <w:color w:val="C00000"/>
                <w:sz w:val="18"/>
              </w:rPr>
              <w:t>[Zümre başkanı]</w:t>
            </w:r>
          </w:p>
        </w:tc>
        <w:tc>
          <w:tcPr>
            <w:tcW w:w="3402" w:type="dxa"/>
          </w:tcPr>
          <w:p>
            <w:r/>
          </w:p>
        </w:tc>
      </w:tr>
    </w:tbl>
    <w:p>
      <w:pPr>
        <w:spacing w:after="60" w:before="0"/>
      </w:pPr>
    </w:p>
    <w:p>
      <w:pPr>
        <w:spacing w:before="60" w:after="100"/>
        <w:ind w:left="340"/>
        <w:jc w:val="both"/>
      </w:pPr>
      <w:r>
        <w:rPr>
          <w:b/>
          <w:color w:val="1F3B63"/>
          <w:sz w:val="20"/>
        </w:rPr>
        <w:t xml:space="preserve">KARAR 3 — </w:t>
      </w:r>
      <w:r>
        <w:rPr>
          <w:b w:val="0"/>
          <w:i w:val="0"/>
          <w:sz w:val="20"/>
        </w:rPr>
        <w:t>Yukarıdaki iş bölümü çizelgesinin 2026-2027 ders yılı boyunca geçerli olmak üzere kabulüne; her sorumlunun görevinin gerçekleşme durumunu kasım ve nisan toplantılarında raporlamasına karar verildi.</w:t>
      </w:r>
    </w:p>
    <w:p>
      <w:pPr>
        <w:spacing w:before="200" w:after="60"/>
        <w:keepNext/>
        <w:keepLines/>
      </w:pPr>
      <w:r>
        <w:rPr>
          <w:b/>
          <w:i w:val="0"/>
          <w:color w:val="1F3B63"/>
          <w:sz w:val="21"/>
        </w:rPr>
        <w:t>4. İlgili mevzuat ve genelgelerin incelenmesi</w:t>
      </w:r>
    </w:p>
    <w:p>
      <w:pPr>
        <w:spacing w:after="80" w:before="0"/>
        <w:jc w:val="both"/>
      </w:pPr>
      <w:r>
        <w:rPr>
          <w:b w:val="0"/>
          <w:i w:val="0"/>
          <w:sz w:val="20"/>
        </w:rPr>
        <w:t>Yönergenin 12 nci maddesinin sekizinci fıkrasının (b) bendi gereğince zümreyi ilgilendiren mevzuat okundu. Ortaöğretim Kurumları Yönetmeliğinde 22.02.2025 tarihli ve 32821 sayılı Resmî Gazete'de yayımlanan değişikliklerle ölçme ve değerlendirme hükümlerinde yapılan düzenlemeler ile Eğitim Kurulları ve Zümreleri Yönergesinin 12.02.2025 tarihli değişikliği üzerinde ayrıca duruldu.</w:t>
      </w:r>
    </w:p>
    <w:p>
      <w:pPr>
        <w:spacing w:after="80" w:before="0"/>
        <w:jc w:val="both"/>
      </w:pPr>
      <w:r>
        <w:rPr>
          <w:b w:val="0"/>
          <w:i w:val="0"/>
          <w:sz w:val="20"/>
        </w:rPr>
        <w:t>2026-2027 Eğitim ve Öğretim Yılına İlişkin İş ve İşlemler Genelgesinin (2026/70) zümreyi ilgilendiren bentleri okundu:</w:t>
      </w:r>
    </w:p>
    <w:p>
      <w:pPr>
        <w:spacing w:after="40" w:before="0"/>
        <w:ind w:left="567" w:hanging="283"/>
        <w:jc w:val="both"/>
      </w:pPr>
      <w:r>
        <w:rPr>
          <w:b w:val="0"/>
          <w:i w:val="0"/>
          <w:sz w:val="18"/>
        </w:rPr>
        <w:t>— Bent 8: Tasarımı Türkiye Yüzyılı Maarif Modeli'ne göre yenilenen yeni EBA bu yıl hizmete girmekte; MEBİ, OGM Materyal, HEMBA ve yapay zekâ destekli DİLİM içeriklerinin etkin kullanılması istenmektedir.</w:t>
      </w:r>
    </w:p>
    <w:p>
      <w:pPr>
        <w:spacing w:after="40" w:before="0"/>
        <w:ind w:left="567" w:hanging="283"/>
        <w:jc w:val="both"/>
      </w:pPr>
      <w:r>
        <w:rPr>
          <w:b w:val="0"/>
          <w:i w:val="0"/>
          <w:sz w:val="18"/>
        </w:rPr>
        <w:t>— Bent 9: Öğretmen Bilişim Ağı'ndaki Türkiye Yüzyılı Maarif Modeli öğretmen eğitimi paketinde kademe ve alana göre hazırlanan bütün modüllerin tamamlanması gerekmektedir.</w:t>
      </w:r>
    </w:p>
    <w:p>
      <w:pPr>
        <w:spacing w:after="40" w:before="0"/>
        <w:ind w:left="567" w:hanging="283"/>
        <w:jc w:val="both"/>
      </w:pPr>
      <w:r>
        <w:rPr>
          <w:b w:val="0"/>
          <w:i w:val="0"/>
          <w:sz w:val="18"/>
        </w:rPr>
        <w:t>— Bent 19: 180 iş günü esastır; ders yılının son haftalarında devamı azaltacak uygulamalardan kaçınılır.</w:t>
      </w:r>
    </w:p>
    <w:p>
      <w:pPr>
        <w:spacing w:after="40" w:before="0"/>
        <w:ind w:left="567" w:hanging="283"/>
        <w:jc w:val="both"/>
      </w:pPr>
      <w:r>
        <w:rPr>
          <w:b w:val="0"/>
          <w:i w:val="0"/>
          <w:sz w:val="18"/>
        </w:rPr>
        <w:t>— Bent 20: 9, 10 ve 11. sınıflarda e-Okul gelişim raporları her ünitenin/temanın işlenişini müteakiben süresi içinde doldurulur ve içeriği hakkında veliler bilgilendirilir.</w:t>
      </w:r>
    </w:p>
    <w:p>
      <w:pPr>
        <w:spacing w:after="40" w:before="0"/>
        <w:ind w:left="567" w:hanging="283"/>
        <w:jc w:val="both"/>
      </w:pPr>
      <w:r>
        <w:rPr>
          <w:b w:val="0"/>
          <w:i w:val="0"/>
          <w:sz w:val="18"/>
        </w:rPr>
        <w:t>— Bent 21: Bakanlıkça belirlenen ortak sınavlar ve Bakanlık ölçme araçları dışında deneme, hazır bulunuşluk ve tarama sınavı okullarda uygulanamaz, öğrencilere satın aldırılamaz.</w:t>
      </w:r>
    </w:p>
    <w:p>
      <w:pPr>
        <w:spacing w:after="40" w:before="0"/>
        <w:ind w:left="567" w:hanging="283"/>
        <w:jc w:val="both"/>
      </w:pPr>
      <w:r>
        <w:rPr>
          <w:b w:val="0"/>
          <w:i w:val="0"/>
          <w:sz w:val="18"/>
        </w:rPr>
        <w:t>— Bent 22: Ortak yazılılarda konu soru dağılım tablosu esas alınır; sorular açık uçlu veya açık uçlu ile kısa cevaplı olarak hazırlanır.</w:t>
      </w:r>
    </w:p>
    <w:p>
      <w:pPr>
        <w:spacing w:after="40" w:before="0"/>
        <w:ind w:left="567" w:hanging="283"/>
        <w:jc w:val="both"/>
      </w:pPr>
      <w:r>
        <w:rPr>
          <w:b w:val="0"/>
          <w:i w:val="0"/>
          <w:sz w:val="18"/>
        </w:rPr>
        <w:t>— Bent 29: Bakanlıkça ücretsiz dağıtılan kaynaklar dışındaki materyaller okulda kullandırılmaz; veliye mali yük ve marka dayatması yapılamaz.</w:t>
      </w:r>
    </w:p>
    <w:p>
      <w:pPr>
        <w:spacing w:after="40" w:before="0"/>
        <w:ind w:left="567" w:hanging="283"/>
        <w:jc w:val="both"/>
      </w:pPr>
      <w:r>
        <w:rPr>
          <w:b w:val="0"/>
          <w:i w:val="0"/>
          <w:sz w:val="18"/>
        </w:rPr>
        <w:t>— Bent 37: Öğrenci sınıfta telefon bulundurmaz, öğretmen de sınıfta telefon kullanmaz; ödev ve bilgilendirmelerde Bakanlık platformları dışındaki araçlardan kaçınılır.</w:t>
      </w:r>
    </w:p>
    <w:p>
      <w:pPr>
        <w:spacing w:after="80" w:before="0"/>
        <w:jc w:val="both"/>
      </w:pPr>
      <w:r>
        <w:rPr>
          <w:b w:val="0"/>
          <w:i w:val="0"/>
          <w:sz w:val="20"/>
        </w:rPr>
        <w:t>Genelgelerin yıl bazlı olduğu, önceki yıla ait genelgeye dayanılamayacağı hatırlatıldı.</w:t>
      </w:r>
    </w:p>
    <w:p>
      <w:pPr>
        <w:spacing w:before="60" w:after="100"/>
        <w:ind w:left="340"/>
        <w:jc w:val="both"/>
      </w:pPr>
      <w:r>
        <w:rPr>
          <w:b/>
          <w:color w:val="1F3B63"/>
          <w:sz w:val="20"/>
        </w:rPr>
        <w:t xml:space="preserve">KARAR 4 — </w:t>
      </w:r>
      <w:r>
        <w:rPr>
          <w:b w:val="0"/>
          <w:i w:val="0"/>
          <w:sz w:val="20"/>
        </w:rPr>
        <w:t>Okunan mevzuat ve genelge hükümlerinin bu tutanağın ilgili gündem maddelerinde kararlaştırılan uygulamalarla hayata geçirilmesine; yıl içinde yayımlanacak düzenlemelerin zümre başkanınca üyelere duyurulmasına ve gerektiğinde ara zümre toplantısı yapılmasına karar verildi.</w:t>
      </w:r>
    </w:p>
    <w:p>
      <w:pPr>
        <w:spacing w:before="200" w:after="60"/>
        <w:keepNext/>
        <w:keepLines/>
      </w:pPr>
      <w:r>
        <w:rPr>
          <w:b/>
          <w:i w:val="0"/>
          <w:color w:val="1F3B63"/>
          <w:sz w:val="21"/>
        </w:rPr>
        <w:t>5. Öğretim programlarının ve ders kitaplarının incelenmesi; TTKB-İDES görüşleri</w:t>
      </w:r>
    </w:p>
    <w:p>
      <w:pPr>
        <w:spacing w:after="80" w:before="0"/>
        <w:jc w:val="both"/>
      </w:pPr>
      <w:r>
        <w:rPr>
          <w:b w:val="0"/>
          <w:i w:val="0"/>
          <w:sz w:val="20"/>
        </w:rPr>
        <w:t xml:space="preserve">Türkiye Yüzyılı Maarif Modeli'ne İlişkin İş ve İşlemler Genelgesinin 6 ncı maddesi doğrultusunda branşın öğretim programı sınıf düzeyi bazında incelendi: öğrenme çıktıları ve süreç bileşenleri, alan becerileri, kavramsal beceriler, eğilimler, sosyal-duygusal öğrenme becerileri, değerler, okuryazarlık becerileri ve disiplinler arası ilişkiler üzerinde duruldu. Modelin uygulandığı </w:t>
      </w:r>
      <w:r>
        <w:rPr>
          <w:b w:val="0"/>
          <w:i w:val="0"/>
          <w:color w:val="C00000"/>
          <w:sz w:val="20"/>
        </w:rPr>
        <w:t>[9, 10 ve 11.]</w:t>
      </w:r>
      <w:r>
        <w:rPr>
          <w:b w:val="0"/>
          <w:i w:val="0"/>
          <w:sz w:val="20"/>
        </w:rPr>
        <w:t xml:space="preserve"> sınıflarda Türkiye Yüzyılı Maarif Modeli öğretim programının, kapsam dışındaki </w:t>
      </w:r>
      <w:r>
        <w:rPr>
          <w:b w:val="0"/>
          <w:i w:val="0"/>
          <w:color w:val="C00000"/>
          <w:sz w:val="20"/>
        </w:rPr>
        <w:t>[12.]</w:t>
      </w:r>
      <w:r>
        <w:rPr>
          <w:b w:val="0"/>
          <w:i w:val="0"/>
          <w:sz w:val="20"/>
        </w:rPr>
        <w:t xml:space="preserve"> sınıflarda ise hâlen yürürlükte olan öğretim programının esas alınacağı belirtildi. Kapsamın tek bir sınıf listesi değil, her dersin kendi kurul kararındaki takvim olduğu; matematik, Türk dili ve edebiyatı, fizik, kimya, biyoloji, coğrafya, din kültürü ve ahlak bilgisi, Kur'an-ı Kerim ve peygamberimizin hayatı derslerinde bu yıl 9, 10 ve 11. sınıfların kapsamda olduğu; tarih ile felsefe derslerinde dersin bütün sınıflarının kapsama girdiği; beden eğitimi ve spor, görsel sanatlar, müzik ve İngilizce derslerinde ise kapsamın yalnız 9 ve 10. sınıflar olduğu, bu dört dersin 11 ve 12. sınıflarında önceki programların yürürlükte kaldığı hatırlatıldı.</w:t>
      </w:r>
    </w:p>
    <w:p>
      <w:pPr>
        <w:spacing w:after="80" w:before="0"/>
        <w:jc w:val="both"/>
      </w:pPr>
      <w:r>
        <w:rPr>
          <w:b w:val="0"/>
          <w:i w:val="0"/>
          <w:sz w:val="20"/>
        </w:rPr>
        <w:t xml:space="preserve">Programın metninin 2026'da değiştirildiği üzerinde ayrıca duruldu: 23.05.2024 tarihli ve 20 sayılı kararla kabul edilen ortaöğretim programları 2026'da alınan Kurul kararlarıyla değiştirilmiş, değişiklik 2026-2027 öğretim yılında kapsamdaki sınıf düzeylerinde yürürlüğe girmiştir. Dayanak karar aynı kalmakla birlikte esas alınacak metin programın 2026 nüshasıdır. Bu nedenle inceleme, geçen yıldan kalan çıktılarla değil mufredat.meb.gov.tr adresinden indirilen güncel nüshayla yapıldı; ünite/tema ders saatleri ile öğrenme çıktısı ifadeleri iki nüsha karşılaştırılarak kontrol edildi ve değişen kalemler </w:t>
      </w:r>
      <w:r>
        <w:rPr>
          <w:b w:val="0"/>
          <w:i w:val="0"/>
          <w:color w:val="C00000"/>
          <w:sz w:val="20"/>
        </w:rPr>
        <w:t>[…………………………………………]</w:t>
      </w:r>
      <w:r>
        <w:rPr>
          <w:b w:val="0"/>
          <w:i w:val="0"/>
          <w:sz w:val="20"/>
        </w:rPr>
        <w:t xml:space="preserve"> olarak tespit edildi.</w:t>
      </w:r>
    </w:p>
    <w:p>
      <w:pPr>
        <w:spacing w:after="80" w:before="0"/>
        <w:jc w:val="both"/>
      </w:pPr>
      <w:r>
        <w:rPr>
          <w:b w:val="0"/>
          <w:i w:val="0"/>
          <w:sz w:val="20"/>
        </w:rPr>
        <w:t>Genelgenin 12 nci maddesi gereğince ders kitapları EBA üzerinden indirilerek incelendi; 11 inci maddesi uyarınca ders kitaplarının ve elektronik içeriklerin tamamının kullanılmasının esas olduğu vurgulandı. Programa ilişkin görüş ve önerilerin 17 nci madde uyarınca TTKB-İDES sistemine, ders kitabına ilişkin görüşlerin ise 18 inci madde uyarınca kitabın arka kapağındaki karekod üzerinden bildirileceği kararlaştırıldı. Yıllık planların, 16 ncı madde gereğince Bakanlıkça yayımlanan örnek yıllık çerçeve planlar dikkate alınarak hazırlanacağı belirtildi.</w:t>
      </w:r>
    </w:p>
    <w:p>
      <w:pPr>
        <w:spacing w:before="60" w:after="100"/>
        <w:ind w:left="340"/>
        <w:jc w:val="both"/>
      </w:pPr>
      <w:r>
        <w:rPr>
          <w:b/>
          <w:color w:val="1F3B63"/>
          <w:sz w:val="20"/>
        </w:rPr>
        <w:t xml:space="preserve">KARAR 5 — </w:t>
      </w:r>
      <w:r>
        <w:rPr>
          <w:b w:val="0"/>
          <w:i w:val="0"/>
          <w:sz w:val="20"/>
        </w:rPr>
        <w:t xml:space="preserve">Öğretim programının 2026 nüshasının bütün üyelerce indirilerek yıllık plan ve sınav kapsamlarında bu nüshanın esas alınmasına; ders kitaplarının </w:t>
      </w:r>
      <w:r>
        <w:rPr>
          <w:b w:val="0"/>
          <w:i w:val="0"/>
          <w:color w:val="C00000"/>
          <w:sz w:val="20"/>
        </w:rPr>
        <w:t>[……………………]</w:t>
      </w:r>
      <w:r>
        <w:rPr>
          <w:b w:val="0"/>
          <w:i w:val="0"/>
          <w:sz w:val="20"/>
        </w:rPr>
        <w:t xml:space="preserve"> tarihine kadar sınıf düzeyi bazında incelenmesine; inceleme sonucunda oluşan program görüşlerinin TTKB-İDES'e, ders kitabı görüşlerinin karekod üzerinden iletilmesine ve girişlerin madde 3 çizelgesinde belirlenen sorumlu tarafından her zümre toplantısında raporlanmasına karar verildi.</w:t>
      </w:r>
    </w:p>
    <w:p>
      <w:pPr>
        <w:spacing w:before="200" w:after="60"/>
        <w:keepNext/>
        <w:keepLines/>
      </w:pPr>
      <w:r>
        <w:rPr>
          <w:b/>
          <w:i w:val="0"/>
          <w:color w:val="1F3B63"/>
          <w:sz w:val="21"/>
        </w:rPr>
        <w:t>6. Yıllık plan ve ders planları; Atatürkçülük konularının işlenmesi</w:t>
      </w:r>
    </w:p>
    <w:p>
      <w:pPr>
        <w:spacing w:after="80" w:before="0"/>
        <w:jc w:val="both"/>
      </w:pPr>
      <w:r>
        <w:rPr>
          <w:b w:val="0"/>
          <w:i w:val="0"/>
          <w:sz w:val="20"/>
        </w:rPr>
        <w:t>Eğitim Öğretim Çalışmalarının Planlı Yürütülmesine İlişkin Yönergenin 9 uncu maddesinin birinci fıkrası uyarınca yıllık planın sınıf/alan zümresince ortak hazırlanarak ders yılı başında okul yönetimine sunulacağı; 10 uncu maddenin birinci fıkrasının (f) bendi uyarınca okul müdürünce ders yılının başlamasından itibaren on beş gün içinde onaylanacağı, (g) bendi uyarınca öğretmenin onaylı planın bir örneğini basılı veya elektronik ortamda yanında bulunduracağı belirtildi.</w:t>
      </w:r>
    </w:p>
    <w:p>
      <w:pPr>
        <w:spacing w:after="80" w:before="0"/>
        <w:jc w:val="both"/>
      </w:pPr>
      <w:r>
        <w:rPr>
          <w:b w:val="0"/>
          <w:i w:val="0"/>
          <w:sz w:val="20"/>
        </w:rPr>
        <w:t>Planın, Bakanlık yıllık çalışma takvimi esas alınarak konu/ünite/tema başına gün ve ders saati dağılımıyla yapılacağı; aynı maddenin (ç) bendi gereğince gezi, deney, ödev ve değerlendirme çalışmalarının belli haftalarda yığılmaması için ortak önlem alınacağı kararlaştırıldı. 9, 10 ve 11. sınıflarda e-Okul gelişim raporlarının her ünitenin işlenişini müteakiben doldurulacağı dikkate alınarak plandaki ünite bitiş tarihlerinin gerçekçi belirlenmesi, 180 iş günü esası gereğince yıl sonu haftalarında devamı azaltacak planlamadan kaçınılması benimsendi.</w:t>
      </w:r>
    </w:p>
    <w:p>
      <w:pPr>
        <w:spacing w:after="80" w:before="0"/>
        <w:jc w:val="both"/>
      </w:pPr>
      <w:r>
        <w:rPr>
          <w:b w:val="0"/>
          <w:i w:val="0"/>
          <w:sz w:val="20"/>
        </w:rPr>
        <w:t>2488 sayılı Tebliğler Dergisi'nde yer alan Atatürkçülük konularının yıllık plana ve ders planlarına dağıtılarak işlenmesi, konu ve kazanım ağırlıkları ile okulun çevre özelliklerinin gözetilmesi hususu görüşüldü. Ders planlarının zümre ve şube öğretmenlerinin ortak katkısıyla hazırlanacağı, uygulamadan ders öğretmeninin, takipten okul müdürünün sorumlu olduğu, tek tip plan zorunluluğu bulunmadığı hatırlatıldı.</w:t>
      </w:r>
    </w:p>
    <w:p>
      <w:pPr>
        <w:spacing w:before="60" w:after="100"/>
        <w:ind w:left="340"/>
        <w:jc w:val="both"/>
      </w:pPr>
      <w:r>
        <w:rPr>
          <w:b/>
          <w:color w:val="1F3B63"/>
          <w:sz w:val="20"/>
        </w:rPr>
        <w:t xml:space="preserve">KARAR 6 — </w:t>
      </w:r>
      <w:r>
        <w:rPr>
          <w:b w:val="0"/>
          <w:i w:val="0"/>
          <w:sz w:val="20"/>
        </w:rPr>
        <w:t xml:space="preserve">Yıllık planların zümrece ortak hazırlanarak </w:t>
      </w:r>
      <w:r>
        <w:rPr>
          <w:b w:val="0"/>
          <w:i w:val="0"/>
          <w:color w:val="C00000"/>
          <w:sz w:val="20"/>
        </w:rPr>
        <w:t>[……………………]</w:t>
      </w:r>
      <w:r>
        <w:rPr>
          <w:b w:val="0"/>
          <w:i w:val="0"/>
          <w:sz w:val="20"/>
        </w:rPr>
        <w:t xml:space="preserve"> tarihine kadar okul yönetimine teslim edilmesine; Atatürkçülük konularının 2488 sayılı Tebliğler Dergisi'ne göre planlara işlenmesine; ünite/tema bitiş tarihlerinin e-Okul gelişim raporu takvimiyle uyumlu belirlenmesine ve plandaki sapmaların nedenleriyle birlikte kasım ve nisan toplantılarında raporlanmasına karar verildi.</w:t>
      </w:r>
    </w:p>
    <w:p>
      <w:pPr>
        <w:spacing w:before="200" w:after="60"/>
        <w:keepNext/>
        <w:keepLines/>
      </w:pPr>
      <w:r>
        <w:rPr>
          <w:b/>
          <w:i w:val="0"/>
          <w:color w:val="1F3B63"/>
          <w:sz w:val="21"/>
        </w:rPr>
        <w:t>7. Öğretim yöntem ve teknikleri; öğrenme-öğretme sürecinin planlanması</w:t>
      </w:r>
    </w:p>
    <w:p>
      <w:pPr>
        <w:spacing w:after="80" w:before="0"/>
        <w:jc w:val="both"/>
      </w:pPr>
      <w:r>
        <w:rPr>
          <w:b w:val="0"/>
          <w:i w:val="0"/>
          <w:sz w:val="20"/>
        </w:rPr>
        <w:t>Derslerin işlenişinde kullanılacak öğretim yöntem ve teknikleri, konu/tema ile öğrenme çıktısı eşleşmesi gözetilerek belirlendi; Planlı Yürütülme Yönergesinin 4 üncü maddesi doğrultusunda öğrenci merkezli, beceri temelli ve aktif öğrenmenin esas alınacağı kabul edildi.</w:t>
      </w:r>
    </w:p>
    <w:p>
      <w:pPr>
        <w:spacing w:after="80" w:before="0"/>
        <w:jc w:val="both"/>
      </w:pPr>
      <w:r>
        <w:rPr>
          <w:b w:val="0"/>
          <w:i w:val="0"/>
          <w:sz w:val="20"/>
        </w:rPr>
        <w:t>Türkiye Yüzyılı Maarif Modeli'nin uygulandığı sınıflarda planlamanın; kavramsal ve alan becerileri, eğilimler, erdem-değer-eylem çerçevesi, okuryazarlık becerileri, farklılaştırma (zenginleştirme ve destekleme), öğrenme kanıtları, ön değerlendirme, köprü kurma, disiplinler arası ilişkiler, okul temelli planlama ve program dışı etkinlikler bileşenlerinin tamamı göz önünde bulundurularak yapılacağı belirtildi.</w:t>
      </w:r>
    </w:p>
    <w:p>
      <w:pPr>
        <w:spacing w:after="80" w:before="0"/>
        <w:jc w:val="both"/>
      </w:pPr>
      <w:r>
        <w:rPr>
          <w:b w:val="0"/>
          <w:i w:val="0"/>
          <w:sz w:val="20"/>
        </w:rPr>
        <w:t>Temaların başındaki temel kabuller ve ön değerlendirme bölümlerine göre ders yılı başında bir ön değerlendirme uygulaması yapılması; sonuçların not amaçlı değil öğrenme eksiklerini belirlemek amaçlı kullanılması ve öğrencilerle paylaşılması görüşü benimsendi.</w:t>
      </w:r>
    </w:p>
    <w:p>
      <w:pPr>
        <w:spacing w:after="80" w:before="0"/>
        <w:jc w:val="both"/>
      </w:pPr>
      <w:r>
        <w:rPr>
          <w:b w:val="0"/>
          <w:i w:val="0"/>
          <w:sz w:val="20"/>
        </w:rPr>
        <w:t>Okul temelli faaliyetlere yönelik planlamalar yapıldı; eba.gov.tr, oba.gov.tr, tymm.meb.gov.tr ve ogmmateryal.eba.gov.tr içerikleri ile MEBİ, OGM Materyal, HEMBA ve DİLİM uygulamalarının planlamada etkin kullanılacağı; ödev verme ve bilgilendirmelerde Bakanlığın belirlediği platformlar dışındaki araçların kullanılmayacağı kararlaştırıldı.</w:t>
      </w:r>
    </w:p>
    <w:p>
      <w:pPr>
        <w:spacing w:before="60" w:after="100"/>
        <w:ind w:left="340"/>
        <w:jc w:val="both"/>
      </w:pPr>
      <w:r>
        <w:rPr>
          <w:b/>
          <w:color w:val="1F3B63"/>
          <w:sz w:val="20"/>
        </w:rPr>
        <w:t xml:space="preserve">KARAR 7 — </w:t>
      </w:r>
      <w:r>
        <w:rPr>
          <w:b w:val="0"/>
          <w:i w:val="0"/>
          <w:sz w:val="20"/>
        </w:rPr>
        <w:t xml:space="preserve">Ders yılı başı ön değerlendirme uygulamasının </w:t>
      </w:r>
      <w:r>
        <w:rPr>
          <w:b w:val="0"/>
          <w:i w:val="0"/>
          <w:color w:val="C00000"/>
          <w:sz w:val="20"/>
        </w:rPr>
        <w:t>[……………………]</w:t>
      </w:r>
      <w:r>
        <w:rPr>
          <w:b w:val="0"/>
          <w:i w:val="0"/>
          <w:sz w:val="20"/>
        </w:rPr>
        <w:t xml:space="preserve"> tarihinde, zümrece hazırlanacak ortak araçla ve puanla değerlendirilmeksizin yapılmasına; sonuçların sınıf bazında özetlenerek öğrenme eksiklerinin giderilmesinde ve yıllık planın uygulanmasında dikkate alınmasına karar verildi.</w:t>
      </w:r>
    </w:p>
    <w:p>
      <w:pPr>
        <w:spacing w:after="80" w:before="200"/>
        <w:keepNext/>
        <w:keepLines/>
      </w:pPr>
      <w:r>
        <w:rPr>
          <w:b/>
          <w:i w:val="0"/>
          <w:color w:val="1F3B63"/>
          <w:sz w:val="22"/>
        </w:rPr>
        <w:t>8. ÖLÇME VE DEĞERLENDİRME PLANLAMASI</w:t>
      </w:r>
    </w:p>
    <w:p>
      <w:pPr>
        <w:spacing w:after="80" w:before="0"/>
        <w:jc w:val="both"/>
      </w:pPr>
      <w:r>
        <w:rPr>
          <w:b w:val="0"/>
          <w:i w:val="0"/>
          <w:sz w:val="20"/>
        </w:rPr>
        <w:t>Ölçme ve değerlendirme planlamasına geçilmeden önce, Türkiye Yüzyılı Maarif Modeli genelgesinin 13 ve 14 üncü maddeleri uyarınca sınıf içi ölçme ve değerlendirmenin; bilgi ve beceri düzeyini ölçmenin yanında öğrenme eksikliklerine ve eğilimlere ilişkin veri üretecek şekilde, beceri odaklı, süreç odaklı ve geri bildirim sağlayan geliştirici bir yapıda planlanacağı belirtildi. Aynı genelgenin 14 üncü maddesi ile Yazılı ve Uygulamalı Sınavlar Yönergesinin 5 inci maddesi gereğince sınıf içi uygulamalar hariç öğrencileri akademik başarıya göre sıralayan il, ilçe ve okul geneli sınavların yapılmayacağı, ortak sınav sonuçlarından okul ve sınıf karşılaştırma listeleri üretilmeyeceği vurgulandı.</w:t>
      </w:r>
    </w:p>
    <w:p>
      <w:pPr>
        <w:spacing w:after="80" w:before="0"/>
        <w:jc w:val="both"/>
      </w:pPr>
      <w:r>
        <w:rPr>
          <w:b w:val="0"/>
          <w:i w:val="0"/>
          <w:sz w:val="20"/>
        </w:rPr>
        <w:t>2026/70 sayılı Genelgenin 21 inci bendi uyarınca Bakanlıkça belirlenen ortak sınav uygulamaları ve Bakanlık ölçme araçları dışında; öğrencileri yarıştıran, sıralayan ya da veliye mali yük getiren deneme sınavı, hazır bulunuşluk uygulaması ve tarama sınavının okulda uygulanamayacağı, öğrencilere satın aldırılamayacağı belirtilerek zümre planlamasında bu tür sınavlara yer verilmemesi; izlemenin yalnızca okul yazılıları ve Bakanlık ölçme araçlarının verileriyle yapılması benimsendi.</w:t>
      </w:r>
    </w:p>
    <w:p>
      <w:pPr>
        <w:spacing w:before="200" w:after="60"/>
        <w:keepNext/>
        <w:keepLines/>
      </w:pPr>
      <w:r>
        <w:rPr>
          <w:b/>
          <w:i w:val="0"/>
          <w:color w:val="1F3B63"/>
          <w:sz w:val="21"/>
        </w:rPr>
        <w:t>8-A. Yazılı sınavlar (bütün dersler)</w:t>
      </w:r>
    </w:p>
    <w:p>
      <w:pPr>
        <w:spacing w:after="80" w:before="0"/>
        <w:jc w:val="both"/>
      </w:pPr>
      <w:r>
        <w:rPr>
          <w:b w:val="0"/>
          <w:i w:val="0"/>
          <w:sz w:val="20"/>
        </w:rPr>
        <w:t>Ortaöğretim Kurumları Yönetmeliğinin 45 inci maddesinin birinci fıkrasının (a) bendi ile Yazılı ve Uygulamalı Sınavlar Yönergesinin 5 inci maddesi gereğince bir dönemde her dersten iki yazılı sınav yapılacağı; haftalık ders saati altı ve üzeri olan derslerde üçüncü sınav yapılabilmesinin il sınıf/alan zümresi kararına bağlı olduğu, bu kararın okul zümresince alınamayacağı, alınmış ise uygulanacağı belirtildi.</w:t>
      </w:r>
    </w:p>
    <w:p>
      <w:pPr>
        <w:spacing w:after="80" w:before="0"/>
        <w:jc w:val="both"/>
      </w:pPr>
      <w:r>
        <w:rPr>
          <w:b w:val="0"/>
          <w:i w:val="0"/>
          <w:sz w:val="20"/>
        </w:rPr>
        <w:t>Uygulamalı sınavlar hariç, birden fazla şubede okutulan derslerin sınavlarının ortak yapılmasının esas olduğu; okul geneli ortak yazılıların sorularının ve cevap anahtarlarının 45 inci maddenin (b) bendi uyarınca zümrece, konu soru dağılım tablosuna uygun hazırlanacağı ve sınav sonunda ilan edileceği kararlaştırıldı. Soruların, cevabını öğrencinin oluşturduğu açık uçlu ya da açık uçlu ile kısa cevaplı yazılı yoklama şeklinde, farklı bilişsel düzeylerdeki öğrenme çıktılarını ölçecek biçimde hazırlanacağı; bir önceki sınavdan sonra işlenen konulara ağırlık verilerek geriye doğru azalan oranda bütün konuların kapsanacağı benimsendi. Sorularla birlikte ayrıntılı cevap anahtarı ile ölçme aracının özelliğine göre dereceli puanlama anahtarı, dereceleme ölçeği veya kontrol listesi hazırlanacaktır.</w:t>
      </w:r>
    </w:p>
    <w:p>
      <w:pPr>
        <w:spacing w:after="80" w:before="0"/>
        <w:jc w:val="both"/>
      </w:pPr>
      <w:r>
        <w:rPr>
          <w:b w:val="0"/>
          <w:i w:val="0"/>
          <w:sz w:val="20"/>
        </w:rPr>
        <w:t>Sınav tarihlerinin öğretim yılı başında e-Okul'dan ilan edileceği, günde en fazla iki sınav yapılacağı ve sınav süresinin zorunlu hâller dışında bir ders saatini aşamayacağı hatırlatıldı. Sınav pencereleri olarak birinci dönem birinci sınav için ekim ayının son haftası ile kasım ayının ilk haftası, birinci dönem ikinci sınav için aralık ayının son haftası ile ocak ayının ilk haftası, ikinci dönem birinci sınav için mart ayının son haftası ile nisan ayının ilk haftası, ikinci dönem ikinci sınav için mayıs ayının son haftası ile haziran ayının ilk haftası önerildi. Ünite, tema veya konu sonlarında anında geri bildirim amacıyla yapılabilecek kısa süreli sınavların puanla değerlendirilmeyeceği belirtildi.</w:t>
      </w:r>
    </w:p>
    <w:p>
      <w:pPr>
        <w:spacing w:after="80" w:before="0"/>
        <w:jc w:val="both"/>
      </w:pPr>
      <w:r>
        <w:rPr>
          <w:b w:val="0"/>
          <w:i w:val="0"/>
          <w:sz w:val="20"/>
        </w:rPr>
        <w:t>Okul içi usul bakımından, okulun yazılı ve uygulamalı sınavlar uygulama yönergesi uyarınca konu soru dağılım tablosunun sınavdan en geç on iş günü önce idareye teslim edilerek öğrencilere duyurulacağı; sınav evrakının zümre başkanı ve ders öğretmenlerinin imzasıyla en az beş iş günü önce müdürlüğe teslim edileceği; sonuçların sınavı takip eden on iş günü içinde öğrenciye duyurularak e-Okul'a işleneceği ve ortak hataların sınıfta açıklanacağı kayda geçirildi.</w:t>
      </w:r>
    </w:p>
    <w:p>
      <w:pPr>
        <w:spacing w:after="80" w:before="0"/>
        <w:jc w:val="both"/>
      </w:pPr>
      <w:r>
        <w:rPr>
          <w:b w:val="0"/>
          <w:i w:val="0"/>
          <w:sz w:val="20"/>
        </w:rPr>
        <w:t>Sınav sonuçlarına itiraz bakımından, Ortaöğretim Kurumları Yönetmeliğinin 49 uncu maddesinin dördüncü fıkrası uyarınca öğrenci velisinin sonuçların ilanını takip eden beş iş günü içinde yazılı olarak okul yönetimine itirazda bulunabileceği ve itirazın, ders öğretmeni dışında ilgili branştan en az iki öğretmenden oluşturulan komisyonca incelenerek nihai puanın veliye bildirileceği belirtildi. Yazılı ve Uygulamalı Sınavlar Yönergesinin 6 ncı maddesinin birinci fıkrasının (h) bendinde sonuç itirazı için üç iş günlük süre öngörülmüş olmakla birlikte, okul yönetimince öğrenci lehine olan ve üst normda yer alan beş iş günlük sürenin esas alınmasının kararlaştırıldığı; sınav sorularına itirazın ise aynı fıkranın (ğ) bendi uyarınca üç iş günü içinde okul müdürlüğüne dilekçeyle yapılacağı bildirildi. Öğrencinin talebi hâlinde sınav evrakının, anılan Yönetmeliğin 49 uncu maddesinin üçüncü fıkrası uyarınca ders öğretmenince öğrenciyle birlikte bir defa daha inceleneceği hatırlatıldı.</w:t>
      </w:r>
    </w:p>
    <w:p>
      <w:pPr>
        <w:spacing w:after="80" w:before="0"/>
        <w:jc w:val="both"/>
      </w:pPr>
      <w:r>
        <w:rPr>
          <w:b w:val="0"/>
          <w:i w:val="0"/>
          <w:sz w:val="20"/>
        </w:rPr>
        <w:t>Hangi sınavların ilçe, il veya ülke geneli ortak yapılacağına ilişkin karar ve uygulama takvimi ile bu sınavların konu soru dağılım tablolarının okul zümresi dışında belirlendiği; ülke geneli sınavların Bakanlıkça, il/ilçe geneli sınavların ilçe millî eğitim müdürleri kurulu kararıyla, tabloların ise il sınıf/alan zümresince ölçme değerlendirme merkezi müdürlüğünün görüşü alınarak hazırlandığı; bu duyuruların çoğu yıl ders yılı başı zümresine yetişmediği belirtilerek kararın iki kademeli alınması benimsendi.</w:t>
      </w:r>
    </w:p>
    <w:p>
      <w:pPr>
        <w:spacing w:before="60" w:after="100"/>
        <w:ind w:left="340"/>
        <w:jc w:val="both"/>
      </w:pPr>
      <w:r>
        <w:rPr>
          <w:b/>
          <w:color w:val="1F3B63"/>
          <w:sz w:val="20"/>
        </w:rPr>
        <w:t xml:space="preserve">KARAR 8 — </w:t>
      </w:r>
      <w:r>
        <w:rPr>
          <w:b w:val="0"/>
          <w:i w:val="0"/>
          <w:sz w:val="20"/>
        </w:rPr>
        <w:t>Bakanlık ile il/ilçe millî eğitim müdürlüğünce ortak sınav senaryosu, uygulama takvimi ve konu soru dağılım tablosu yayımlandığında bunların aynen esas alınmasına; okul sınav tarihlerinin ve tabloların buna göre güncellenerek e-Okul'dan yeniden ilan edilmesine; uyum kararlarının gerekmesi hâlinde ara zümre toplantısı yapılarak ayrı tutanağa bağlanmasına, bu tutanak üzerinde sonradan değişiklik veya şerh yapılmamasına karar verildi.</w:t>
      </w:r>
    </w:p>
    <w:p>
      <w:pPr>
        <w:spacing w:before="60" w:after="100"/>
        <w:ind w:left="340"/>
        <w:jc w:val="both"/>
      </w:pPr>
      <w:r>
        <w:rPr>
          <w:b/>
          <w:color w:val="1F3B63"/>
          <w:sz w:val="20"/>
        </w:rPr>
        <w:t xml:space="preserve">KARAR 9 — </w:t>
      </w:r>
      <w:r>
        <w:rPr>
          <w:b w:val="0"/>
          <w:i w:val="0"/>
          <w:sz w:val="20"/>
        </w:rPr>
        <w:t xml:space="preserve">Merkezî düzenleme kapsamına girmeyen dersler ve sınavlar bakımından yukarıdaki sınav pencerelerinin esas alınmasına; sınav tarihlerinin </w:t>
      </w:r>
      <w:r>
        <w:rPr>
          <w:b w:val="0"/>
          <w:i w:val="0"/>
          <w:color w:val="C00000"/>
          <w:sz w:val="20"/>
        </w:rPr>
        <w:t>[……………………]</w:t>
      </w:r>
      <w:r>
        <w:rPr>
          <w:b w:val="0"/>
          <w:i w:val="0"/>
          <w:sz w:val="20"/>
        </w:rPr>
        <w:t xml:space="preserve"> tarihine kadar e-Okul'dan ilan edilmesine; konu soru dağılım tablosunun sınavdan on iş günü önce, sınav evrakının beş iş günü önce madde 3 çizelgesindeki sorumlularca hazırlanarak müdürlüğe teslim edilmesine; sınav sonuçlarına itirazlarda öğrenci lehine olan beş iş günlük sürenin esas alınmasına ve bu sürenin dönemin ilk haftasında öğrencilere duyurulmasına karar verildi.</w:t>
      </w:r>
    </w:p>
    <w:p>
      <w:pPr>
        <w:spacing w:before="200" w:after="60"/>
        <w:keepNext/>
        <w:keepLines/>
      </w:pPr>
      <w:r>
        <w:rPr>
          <w:b/>
          <w:i w:val="0"/>
          <w:color w:val="1F3B63"/>
          <w:sz w:val="21"/>
        </w:rPr>
        <w:t>8-B. Uygulamalı dersler — beden eğitimi ve spor, görsel sanatlar, müzik</w:t>
      </w:r>
    </w:p>
    <w:p>
      <w:pPr>
        <w:spacing w:after="80" w:before="0"/>
        <w:jc w:val="both"/>
      </w:pPr>
      <w:r>
        <w:rPr>
          <w:b w:val="0"/>
          <w:i w:val="0"/>
          <w:sz w:val="20"/>
        </w:rPr>
        <w:t>Ortaöğretim Kurumları Yönetmeliğinin 45 inci maddesinin birinci fıkrasının (f) bendi uyarınca uygulamalı sınavların hangi derslerden yapılacağı ile şekli, sayısı ve süresinin eğitim kurumu sınıf/alan zümresince belirleneceği ve okul müdürünün onayına bağlı olarak uygulanacağı; Eğitim Kurulları ve Zümreleri Yönergesinin 12 nci maddesinin sekizinci fıkrasının (k) bendinin görsel sanatlar, müzik ve beden eğitimi derslerinin değerlendirmesinde dikkate alınacak hususlar ile ürün değerlendirme ölçeklerini bu toplantının gündemine koyduğu belirtildi.</w:t>
      </w:r>
    </w:p>
    <w:p>
      <w:pPr>
        <w:spacing w:after="80" w:before="0"/>
        <w:jc w:val="both"/>
      </w:pPr>
      <w:r>
        <w:rPr>
          <w:b w:val="0"/>
          <w:i w:val="0"/>
          <w:sz w:val="20"/>
        </w:rPr>
        <w:t>Aynı Yönetmeliğin 43 üncü maddesinin birinci fıkrasının (f) bendi gereğince ölçme aracının özelliğine göre dereceli puanlama anahtarı ya da kontrol listesi hazırlanmasının ve kullanılmasının zorunlu olduğu, uygulamalı sınavın genel izlenimle puanlanamayacağı vurgulandı. Sınavların her alanın öğretim programında öngörülen ölçme ve değerlendirme ölçütlerine göre yapılacağı; temaların öğrenme kanıtları bölümlerindeki araçların (performans görevi, dereceleme ölçeği, kontrol listesi, çalışma yaprağı) ölçek geliştirmede esas alınacağı kararlaştırıldı.</w:t>
      </w:r>
    </w:p>
    <w:p>
      <w:pPr>
        <w:spacing w:after="80" w:before="0"/>
        <w:jc w:val="both"/>
      </w:pPr>
      <w:r>
        <w:rPr>
          <w:b w:val="0"/>
          <w:i w:val="0"/>
          <w:sz w:val="20"/>
        </w:rPr>
        <w:t>Ortak sınav esasının uygulamalı sınavları kapsamadığı, ancak şubeler arası puanlama birlikteliği için aynı ölçeğin bütün şubelerde kullanılmasının uygun olacağı görüşü benimsendi. Beden eğitimi dersinde, 51 inci maddenin beşinci fıkrası uyarınca sağlık durumu veya özel eğitim ihtiyacı nedeniyle bazı etkinliklere katılamayacak öğrencilerden doktor raporu isteneceği; rapora göre bazı uygulamalı etkinliklerden muaf tutulanların teorik bilgiler ve uygun etkinliklerle, tümünden muaf tutulanların yalnız teorik bilgilerle değerlendirileceği, raporlu öğrencinin puansız bırakılmayacağı hatırlatıldı.</w:t>
      </w:r>
    </w:p>
    <w:p>
      <w:pPr>
        <w:spacing w:before="60" w:after="100"/>
        <w:ind w:left="340"/>
        <w:jc w:val="both"/>
      </w:pPr>
      <w:r>
        <w:rPr>
          <w:b/>
          <w:color w:val="1F3B63"/>
          <w:sz w:val="20"/>
        </w:rPr>
        <w:t xml:space="preserve">KARAR 10 — </w:t>
      </w:r>
      <w:r>
        <w:rPr>
          <w:b w:val="0"/>
          <w:i w:val="0"/>
          <w:sz w:val="20"/>
        </w:rPr>
        <w:t>Dönemdeki iki sınavın da dersin öğretim programındaki öğrenme çıktılarına dayalı uygulamalı performans sınavı olarak yapılmasına; her sınav için beceri bileşenlerini içeren dereceleme ölçeği ve dereceli puanlama anahtarının bu tutanağın ekinde yer almasına, ölçeklerin sınavdan önce öğrencilere duyurulmasına ve aynı ölçeğin bütün şubelerde kullanılmasına; kararın sınav şekli, sayısı ve süresi bakımından okul müdürünün onayına sunulmasına karar verildi.</w:t>
      </w:r>
    </w:p>
    <w:p>
      <w:pPr>
        <w:spacing w:before="200" w:after="60"/>
        <w:keepNext/>
        <w:keepLines/>
      </w:pPr>
      <w:r>
        <w:rPr>
          <w:b/>
          <w:i w:val="0"/>
          <w:color w:val="1F3B63"/>
          <w:sz w:val="21"/>
        </w:rPr>
        <w:t>8-C. Dil dersleri — Türk dili ve edebiyatı ile yabancı diller</w:t>
      </w:r>
    </w:p>
    <w:p>
      <w:pPr>
        <w:spacing w:after="80" w:before="0"/>
        <w:jc w:val="both"/>
      </w:pPr>
      <w:r>
        <w:rPr>
          <w:b w:val="0"/>
          <w:i w:val="0"/>
          <w:sz w:val="20"/>
        </w:rPr>
        <w:t>Ortaöğretim Kurumları Yönetmeliğinin 45 inci maddesinin birinci fıkrasının (h) bendi uyarınca Türk dili ve edebiyatı ile yabancı dil derslerinin her bir sınavının dinleme, konuşma, okuma ve yazma becerilerini ölçecek şekilde yazılı ve uygulamalı olarak yapılacağı; tek aşamalı, yalnız yazılı sınavın bu derslerde mevzuata aykırı olacağı belirtildi.</w:t>
      </w:r>
    </w:p>
    <w:p>
      <w:pPr>
        <w:spacing w:after="80" w:before="0"/>
        <w:jc w:val="both"/>
      </w:pPr>
      <w:r>
        <w:rPr>
          <w:b w:val="0"/>
          <w:i w:val="0"/>
          <w:sz w:val="20"/>
        </w:rPr>
        <w:t>Yazılı ve Uygulamalı Sınavlar Yönergesinin 5 inci maddesi gereğince sınavın iki aşamalı olduğu; okuma ve yazma becerilerinin yazılı aşamada, dinleme ve konuşma becerilerinin ders öğretmenince yapılan ve ayrı ayrı puanlanan uygulama sınavlarıyla ölçüleceği; uygulamalı aşamanın süresi ile hangi öğrenme çıktılarına göre yapılacağının ders öğretmenlerince belirleneceği, şubeler arası birliktelik için zümrece ortak çerçeve kararlaştırılmasının uygun olacağı görüşüldü. Sınav puanının hesabında Türk dili ve edebiyatı dersinde yazılı aşamanın yüzde yetmiş, dinleme ve konuşma becerilerinin yüzde on beşer; yabancı dil derslerinde yazılı aşamanın yüzde elli, dinleme ve konuşma becerilerinin yüzde yirmi beşer ağırlıkla değerlendirileceği kayda geçirildi. Yabancı dilde becerilerin değerlendirilmesinin, Yönetmeliğin 51 inci maddesinin dördüncü fıkrası uyarınca zümre kararıyla ortak yapılabileceği belirtildi.</w:t>
      </w:r>
    </w:p>
    <w:p>
      <w:pPr>
        <w:spacing w:after="80" w:before="0"/>
        <w:jc w:val="both"/>
      </w:pPr>
      <w:r>
        <w:rPr>
          <w:b w:val="0"/>
          <w:i w:val="0"/>
          <w:sz w:val="20"/>
        </w:rPr>
        <w:t>Türkiye Yüzyılı Maarif Modeli genelgesinin 21 inci maddesi uyarınca Türk dili ve edebiyatı dersinde her dönem iki, yılda toplam dört eser okunacağı ve bir eleştirel film analizi yapılacağı; eserlerin programdaki metin seçimi ölçütlerine göre zümrece, yaş ve sınıf seviyesine uygun belirleneceği; öğrencilerin eleştirel okuma, dinleme/izleme formu ile yapacağı değerlendirmenin dönem sonundaki iki performans puanından biri olarak dikkate alınacağı görüşüldü.</w:t>
      </w:r>
    </w:p>
    <w:p>
      <w:pPr>
        <w:spacing w:before="60" w:after="100"/>
        <w:ind w:left="340"/>
        <w:jc w:val="both"/>
      </w:pPr>
      <w:r>
        <w:rPr>
          <w:b/>
          <w:color w:val="1F3B63"/>
          <w:sz w:val="20"/>
        </w:rPr>
        <w:t xml:space="preserve">KARAR 11 — </w:t>
      </w:r>
      <w:r>
        <w:rPr>
          <w:b w:val="0"/>
          <w:i w:val="0"/>
          <w:sz w:val="20"/>
        </w:rPr>
        <w:t xml:space="preserve">Dil derslerinde her sınavın iki aşamalı yapılmasına; dinleme ve konuşma becerilerine ilişkin görev tiplerinin, dereceli puanlama anahtarlarının ve uygulama takviminin ekte yer alan ortak çerçeveye göre yürütülmesine; Türk dili ve edebiyatı dersinde birinci dönem okunacak eserlerin </w:t>
      </w:r>
      <w:r>
        <w:rPr>
          <w:b w:val="0"/>
          <w:i w:val="0"/>
          <w:color w:val="C00000"/>
          <w:sz w:val="20"/>
        </w:rPr>
        <w:t>[eser 1]</w:t>
      </w:r>
      <w:r>
        <w:rPr>
          <w:b w:val="0"/>
          <w:i w:val="0"/>
          <w:sz w:val="20"/>
        </w:rPr>
        <w:t xml:space="preserve"> ve </w:t>
      </w:r>
      <w:r>
        <w:rPr>
          <w:b w:val="0"/>
          <w:i w:val="0"/>
          <w:color w:val="C00000"/>
          <w:sz w:val="20"/>
        </w:rPr>
        <w:t>[eser 2]</w:t>
      </w:r>
      <w:r>
        <w:rPr>
          <w:b w:val="0"/>
          <w:i w:val="0"/>
          <w:sz w:val="20"/>
        </w:rPr>
        <w:t xml:space="preserve">, ikinci dönem okunacak eserlerin </w:t>
      </w:r>
      <w:r>
        <w:rPr>
          <w:b w:val="0"/>
          <w:i w:val="0"/>
          <w:color w:val="C00000"/>
          <w:sz w:val="20"/>
        </w:rPr>
        <w:t>[eser 3]</w:t>
      </w:r>
      <w:r>
        <w:rPr>
          <w:b w:val="0"/>
          <w:i w:val="0"/>
          <w:sz w:val="20"/>
        </w:rPr>
        <w:t xml:space="preserve"> ve </w:t>
      </w:r>
      <w:r>
        <w:rPr>
          <w:b w:val="0"/>
          <w:i w:val="0"/>
          <w:color w:val="C00000"/>
          <w:sz w:val="20"/>
        </w:rPr>
        <w:t>[eser 4]</w:t>
      </w:r>
      <w:r>
        <w:rPr>
          <w:b w:val="0"/>
          <w:i w:val="0"/>
          <w:sz w:val="20"/>
        </w:rPr>
        <w:t xml:space="preserve"> olarak belirlenmesine ve eleştirel film analizinin </w:t>
      </w:r>
      <w:r>
        <w:rPr>
          <w:b w:val="0"/>
          <w:i w:val="0"/>
          <w:color w:val="C00000"/>
          <w:sz w:val="20"/>
        </w:rPr>
        <w:t>[……………………]</w:t>
      </w:r>
      <w:r>
        <w:rPr>
          <w:b w:val="0"/>
          <w:i w:val="0"/>
          <w:sz w:val="20"/>
        </w:rPr>
        <w:t xml:space="preserve"> ayında yapılmasına karar verildi.</w:t>
      </w:r>
    </w:p>
    <w:p>
      <w:pPr>
        <w:spacing w:before="200" w:after="60"/>
        <w:keepNext/>
        <w:keepLines/>
      </w:pPr>
      <w:r>
        <w:rPr>
          <w:b/>
          <w:i w:val="0"/>
          <w:color w:val="1F3B63"/>
          <w:sz w:val="21"/>
        </w:rPr>
        <w:t>8-D. Performans puanları ve değerlendirme ölçekleri</w:t>
      </w:r>
    </w:p>
    <w:p>
      <w:pPr>
        <w:spacing w:after="80" w:before="0"/>
        <w:jc w:val="both"/>
      </w:pPr>
      <w:r>
        <w:rPr>
          <w:b w:val="0"/>
          <w:i w:val="0"/>
          <w:sz w:val="20"/>
        </w:rPr>
        <w:t>Ortaöğretim Kurumları Yönetmeliğinin 50 nci maddesinin sekizinci fıkrası uyarınca her dönemde bütün derslerden iki performans puanı verileceği; bunlardan birinin dönemde yapılan performans çalışmasına, diğerinin performans görevleri ile okuryazarlık becerileri, kitap okuma, derse hazırlık, devam, aktif katılım ve örnek davranışlara göre verileceği; zümre kararıyla performans çalışmasına dayalı üçüncü bir performans puanı verilebileceği ve verilecekse öğrencilere duyurulacağı belirtildi.</w:t>
      </w:r>
    </w:p>
    <w:p>
      <w:pPr>
        <w:spacing w:after="80" w:before="0"/>
        <w:jc w:val="both"/>
      </w:pPr>
      <w:r>
        <w:rPr>
          <w:b w:val="0"/>
          <w:i w:val="0"/>
          <w:sz w:val="20"/>
        </w:rPr>
        <w:t>Değerlendirme ölçeklerinin, ilgili kulüp öğretmenlerinin görüşü alınarak zümre kararıyla belirleneceği; nelerin hangi ağırlıkla puanlanacağının bu tutanakta somutlaştırılması ve ölçeklerin ekte yer alması gerektiği vurgulandı. Aynı maddenin birinci fıkrası gereğince öğrencilerin her dönem bütün derslerden en az bir performans çalışması yapacağı; ikinci fıkrası uyarınca ulusal veya uluslararası yarışmalarda başarı gösteren öğrencinin çalışmasının ilgili dersin performans çalışması ya da projesi sayılarak tam puanla değerlendirileceği hatırlatıldı.</w:t>
      </w:r>
    </w:p>
    <w:p>
      <w:pPr>
        <w:spacing w:after="80" w:before="0"/>
        <w:jc w:val="both"/>
      </w:pPr>
      <w:r>
        <w:rPr>
          <w:b w:val="0"/>
          <w:i w:val="0"/>
          <w:sz w:val="20"/>
        </w:rPr>
        <w:t>Puanın gözlemlenebilir kanıta dayanması, genel kanaatin tek başına puan kalemi olamayacağı; ölçütlerin dönem başında öğrencilere duyurulması ve süreç boyunca geliştirici geri bildirim verilmesi benimsendi. Ekte yer alan EK-3 örnek ölçek, zümrece branşa uyarlanmak üzere esas alındı.</w:t>
      </w:r>
    </w:p>
    <w:p>
      <w:pPr>
        <w:spacing w:before="60" w:after="100"/>
        <w:ind w:left="340"/>
        <w:jc w:val="both"/>
      </w:pPr>
      <w:r>
        <w:rPr>
          <w:b/>
          <w:color w:val="1F3B63"/>
          <w:sz w:val="20"/>
        </w:rPr>
        <w:t xml:space="preserve">KARAR 12 — </w:t>
      </w:r>
      <w:r>
        <w:rPr>
          <w:b w:val="0"/>
          <w:i w:val="0"/>
          <w:sz w:val="20"/>
        </w:rPr>
        <w:t xml:space="preserve">Birinci performans puanının dönem içinde yapılan performans çalışmasına, ikinci performans puanının performans görevleri ile okuryazarlık, kitap okuma, derse hazırlık, devam, aktif katılım ve örnek davranışlara göre verilmesine; ekteki ölçeklerin kullanılmasına ve ölçütlerin </w:t>
      </w:r>
      <w:r>
        <w:rPr>
          <w:b w:val="0"/>
          <w:i w:val="0"/>
          <w:color w:val="C00000"/>
          <w:sz w:val="20"/>
        </w:rPr>
        <w:t>[……………………]</w:t>
      </w:r>
      <w:r>
        <w:rPr>
          <w:b w:val="0"/>
          <w:i w:val="0"/>
          <w:sz w:val="20"/>
        </w:rPr>
        <w:t xml:space="preserve"> tarihine kadar öğrencilere duyurulmasına; üçüncü performans puanının </w:t>
      </w:r>
      <w:r>
        <w:rPr>
          <w:b w:val="0"/>
          <w:i w:val="0"/>
          <w:color w:val="C00000"/>
          <w:sz w:val="20"/>
        </w:rPr>
        <w:t>[verilmesine / verilmemesine]</w:t>
      </w:r>
      <w:r>
        <w:rPr>
          <w:b w:val="0"/>
          <w:i w:val="0"/>
          <w:sz w:val="20"/>
        </w:rPr>
        <w:t xml:space="preserve"> karar verildi.</w:t>
      </w:r>
    </w:p>
    <w:p>
      <w:pPr>
        <w:spacing w:before="200" w:after="60"/>
        <w:keepNext/>
        <w:keepLines/>
      </w:pPr>
      <w:r>
        <w:rPr>
          <w:b/>
          <w:i w:val="0"/>
          <w:color w:val="1F3B63"/>
          <w:sz w:val="21"/>
        </w:rPr>
        <w:t>8-E. Proje çalışmaları ve mazeret sınavları</w:t>
      </w:r>
    </w:p>
    <w:p>
      <w:pPr>
        <w:spacing w:after="80" w:before="0"/>
        <w:jc w:val="both"/>
      </w:pPr>
      <w:r>
        <w:rPr>
          <w:b w:val="0"/>
          <w:i w:val="0"/>
          <w:sz w:val="20"/>
        </w:rPr>
        <w:t>Ortaöğretim Kurumları Yönetmeliğinin 50 nci maddesi uyarınca her öğrencinin her ders yılında en az bir dersten proje hazırlayacağı, derslere dengeli dağılım için taleplerin sınıf rehber öğretmenlerince okul yönetimine bildirileceği ve projenin puanla değerlendirileceği belirtildi. Konu havuzunun, teslim takviminin ve dereceli puanlama anahtarının zümrece belirlenmesi gerektiği görüşüldü. Okulun yerleşik proje takvimine göre ekim ayında e-Okul üzerinden ders seçiminin, kasım ayında konu belirlemenin, nisan sonunda teslim ve değerlendirmenin, mayıs ayının ilk yarısında puan girişinin yapılması önerildi.</w:t>
      </w:r>
    </w:p>
    <w:p>
      <w:pPr>
        <w:spacing w:after="80" w:before="0"/>
        <w:jc w:val="both"/>
      </w:pPr>
      <w:r>
        <w:rPr>
          <w:b w:val="0"/>
          <w:i w:val="0"/>
          <w:sz w:val="20"/>
        </w:rPr>
        <w:t>Yönetmeliğin 48 inci maddesinin birinci fıkrası uyarınca özrünü belgelendiren öğrenci için mazeret sınavının zümrenin belirleyeceği zamanda, önceden duyurularak bir defaya mahsus yapılacağı; birinci dönemdeki özürler için tanınacak sürenin birinci dönemi aşamayacağı; okul geneli ortak yazılıların mazeret sınavına ait soru, cevap anahtarı, uygulama ve değerlendirmenin zümrenin görevi olduğu belirtildi. Geçerli özrü olmadan sınava girmeyen öğrenciye 'G', kopya çeken öğrenciye 'K' işleneceği ve bunun ortalamaya dâhil edileceği hatırlatıldı. Sınav, performans ve proje sonuçlarının ilgili tarihi takip eden on iş günü içinde öğrenciye duyurulup e-Okul'a işleneceği kayda geçirildi.</w:t>
      </w:r>
    </w:p>
    <w:p>
      <w:pPr>
        <w:spacing w:before="60" w:after="100"/>
        <w:ind w:left="340"/>
        <w:jc w:val="both"/>
      </w:pPr>
      <w:r>
        <w:rPr>
          <w:b/>
          <w:color w:val="1F3B63"/>
          <w:sz w:val="20"/>
        </w:rPr>
        <w:t xml:space="preserve">KARAR 13 — </w:t>
      </w:r>
      <w:r>
        <w:rPr>
          <w:b w:val="0"/>
          <w:i w:val="0"/>
          <w:sz w:val="20"/>
        </w:rPr>
        <w:t xml:space="preserve">Proje konu havuzunun ekte yer aldığı şekliyle kabulüne; konu dağılımının kasım ayı içinde tamamlanmasına, projelerin </w:t>
      </w:r>
      <w:r>
        <w:rPr>
          <w:b w:val="0"/>
          <w:i w:val="0"/>
          <w:color w:val="C00000"/>
          <w:sz w:val="20"/>
        </w:rPr>
        <w:t>[……………………]</w:t>
      </w:r>
      <w:r>
        <w:rPr>
          <w:b w:val="0"/>
          <w:i w:val="0"/>
          <w:sz w:val="20"/>
        </w:rPr>
        <w:t xml:space="preserve"> tarihine kadar teslim alınarak ekli dereceli puanlama anahtarıyla değerlendirilmesine; mazeret sınavlarının birinci dönemde </w:t>
      </w:r>
      <w:r>
        <w:rPr>
          <w:b w:val="0"/>
          <w:i w:val="0"/>
          <w:color w:val="C00000"/>
          <w:sz w:val="20"/>
        </w:rPr>
        <w:t>[……………………]</w:t>
      </w:r>
      <w:r>
        <w:rPr>
          <w:b w:val="0"/>
          <w:i w:val="0"/>
          <w:sz w:val="20"/>
        </w:rPr>
        <w:t xml:space="preserve">, ikinci dönemde </w:t>
      </w:r>
      <w:r>
        <w:rPr>
          <w:b w:val="0"/>
          <w:i w:val="0"/>
          <w:color w:val="C00000"/>
          <w:sz w:val="20"/>
        </w:rPr>
        <w:t>[……………………]</w:t>
      </w:r>
      <w:r>
        <w:rPr>
          <w:b w:val="0"/>
          <w:i w:val="0"/>
          <w:sz w:val="20"/>
        </w:rPr>
        <w:t xml:space="preserve"> tarihlerinde, önceden duyurulmak suretiyle yapılmasına karar verildi.</w:t>
      </w:r>
    </w:p>
    <w:p>
      <w:pPr>
        <w:spacing w:before="200" w:after="60"/>
        <w:keepNext/>
        <w:keepLines/>
      </w:pPr>
      <w:r>
        <w:rPr>
          <w:b/>
          <w:i w:val="0"/>
          <w:color w:val="1F3B63"/>
          <w:sz w:val="21"/>
        </w:rPr>
        <w:t>8-F. Sınav analizi, öğrenme eksiklerinin giderilmesi ve izleme</w:t>
      </w:r>
    </w:p>
    <w:p>
      <w:pPr>
        <w:spacing w:after="80" w:before="0"/>
        <w:jc w:val="both"/>
      </w:pPr>
      <w:r>
        <w:rPr>
          <w:b w:val="0"/>
          <w:i w:val="0"/>
          <w:sz w:val="20"/>
        </w:rPr>
        <w:t>Ortaöğretim Kurumları Yönetmeliğinin 45 inci maddesinin birinci fıkrasının (b) bendi ile Yazılı ve Uygulamalı Sınavlar Yönergesinin 6 ncı maddesi gereğince her sınavın şube ve sınıf bazında analiz edileceği; konu ve öğrenme çıktısı eksikliği görülen öğrencilerin durumunun ders öğretmeni ve zümre tarafından yeniden değerlendirileceği; eksikleri gidermeye yönelik çalışmaların planlanarak yapılan uygulamaların ders defterinin açıklamalar bölümüne işleneceği belirtildi.</w:t>
      </w:r>
    </w:p>
    <w:p>
      <w:pPr>
        <w:spacing w:after="80" w:before="0"/>
        <w:jc w:val="both"/>
      </w:pPr>
      <w:r>
        <w:rPr>
          <w:b w:val="0"/>
          <w:i w:val="0"/>
          <w:sz w:val="20"/>
        </w:rPr>
        <w:t>Analiz raporunun öğretmene geri bildirim üretmek amacı taşıdığı; sınıf veya okul genelinde ortak eksik ya da yanlış öğrenme bulunması hâlinde telafi için öğrencilere geri bildirim verileceği ve gelişimin periyodik izleneceği vurgulandı. Yönetmeliğin 47 nci maddesi uyarınca yeterince ulaşılamayan öğrenme çıktılarına ilişkin konuların yeniden işlenip alıştırma yaptırılacağı, 49 uncu maddesi uyarınca sınav sonrası ortak hataların sınıfta açıklanacağı hatırlatıldı.</w:t>
      </w:r>
    </w:p>
    <w:p>
      <w:pPr>
        <w:spacing w:after="80" w:before="0"/>
        <w:jc w:val="both"/>
      </w:pPr>
      <w:r>
        <w:rPr>
          <w:b w:val="0"/>
          <w:i w:val="0"/>
          <w:sz w:val="20"/>
        </w:rPr>
        <w:t>Analizlerde okulun sınav sonuç değerlendirme formunun kullanılması; puan dağılımının, başarısı en düşük üç soruya ait öğrenme çıktılarının ve her biri için gelişim planının (ders içi tekrar, Bakanlık destek materyalleri, çalışma kâğıdı, EBA, MEBİ, destekleme ve yetiştirme kursu yönlendirmesi) forma işlenmesi benimsendi. Dil derslerinde analizin beceri kırılımıyla, uygulamalı derslerde ölçek bileşeni kırılımıyla yapılacağı kararlaştırıldı.</w:t>
      </w:r>
    </w:p>
    <w:p>
      <w:pPr>
        <w:spacing w:before="60" w:after="100"/>
        <w:ind w:left="340"/>
        <w:jc w:val="both"/>
      </w:pPr>
      <w:r>
        <w:rPr>
          <w:b/>
          <w:color w:val="1F3B63"/>
          <w:sz w:val="20"/>
        </w:rPr>
        <w:t xml:space="preserve">KARAR 14 — </w:t>
      </w:r>
      <w:r>
        <w:rPr>
          <w:b w:val="0"/>
          <w:i w:val="0"/>
          <w:sz w:val="20"/>
        </w:rPr>
        <w:t>Her sınav penceresinden sonra şube ve sınıf bazında analizin sınavı izleyen on iş günü içinde yapılmasına; analiz ve telafi planının okulun sınav sonuç değerlendirme formuna işlenerek zümre başkanına teslim edilmesine, uygulanan telafi çalışmalarının ders defterinin açıklamalar bölümüne kaydedilmesine; sonuçların kasım, ikinci dönem başı ve nisan toplantılarında değerlendirilmesine karar verildi.</w:t>
      </w:r>
    </w:p>
    <w:p>
      <w:pPr>
        <w:spacing w:before="200" w:after="60"/>
        <w:keepNext/>
        <w:keepLines/>
      </w:pPr>
      <w:r>
        <w:rPr>
          <w:b/>
          <w:i w:val="0"/>
          <w:color w:val="1F3B63"/>
          <w:sz w:val="21"/>
        </w:rPr>
        <w:t>9. Özel eğitim ihtiyacı olan öğrenciler ve farklılaştırılmış uygulamalar</w:t>
      </w:r>
    </w:p>
    <w:p>
      <w:pPr>
        <w:spacing w:after="80" w:before="0"/>
        <w:jc w:val="both"/>
      </w:pPr>
      <w:r>
        <w:rPr>
          <w:b w:val="0"/>
          <w:i w:val="0"/>
          <w:sz w:val="20"/>
        </w:rPr>
        <w:t>Kaynaştırma ve bütünleştirme kapsamındaki öğrenciler için bireyselleştirilmiş eğitim programlarının, Türkiye Yüzyılı Maarif Modeli'nin uygulandığı sınıflarda bu modelin öğretim programı esas alınarak hazırlanacağı; Planlı Yürütülme Yönergesinin 9 uncu maddesinin ikinci fıkrası uyarınca bireyselleştirilmiş eğitim programı hazırlanan öğrenci için ayrıca yıllık plan yapılmayacağı belirtildi. Bireyselleştirilmiş eğitim programı geliştirme birimiyle eşgüdüm kurulması kararlaştırıldı.</w:t>
      </w:r>
    </w:p>
    <w:p>
      <w:pPr>
        <w:spacing w:after="80" w:before="0"/>
        <w:jc w:val="both"/>
      </w:pPr>
      <w:r>
        <w:rPr>
          <w:b w:val="0"/>
          <w:i w:val="0"/>
          <w:sz w:val="20"/>
        </w:rPr>
        <w:t>Farklılaştırılmış uygulamaların, ileri düzeydeki öğrenciler için zenginleştirme ve güçlük yaşayan öğrenciler için destekleme boyutlarıyla planlanacağı; ölçme ve değerlendirmede bireyselleştirilmiş eğitim programında öngörülen ölçütlerin esas alınacağı görüşüldü.</w:t>
      </w:r>
    </w:p>
    <w:p>
      <w:pPr>
        <w:spacing w:before="60" w:after="100"/>
        <w:ind w:left="340"/>
        <w:jc w:val="both"/>
      </w:pPr>
      <w:r>
        <w:rPr>
          <w:b/>
          <w:color w:val="1F3B63"/>
          <w:sz w:val="20"/>
        </w:rPr>
        <w:t xml:space="preserve">KARAR 15 — </w:t>
      </w:r>
      <w:r>
        <w:rPr>
          <w:b w:val="0"/>
          <w:i w:val="0"/>
          <w:sz w:val="20"/>
        </w:rPr>
        <w:t>Bireyselleştirilmiş eğitim programı bulunan öğrencilerin ders planlarının ilgili ders öğretmenlerince birim ile eşgüdüm içinde hazırlanmasına; ölçme ve değerlendirmenin bu programdaki ölçütlere göre yapılmasına; zenginleştirme ve destekleme etkinliklerinin yıllık plana işlenmesine karar verildi.</w:t>
      </w:r>
    </w:p>
    <w:p>
      <w:pPr>
        <w:spacing w:before="200" w:after="60"/>
        <w:keepNext/>
        <w:keepLines/>
      </w:pPr>
      <w:r>
        <w:rPr>
          <w:b/>
          <w:i w:val="0"/>
          <w:color w:val="1F3B63"/>
          <w:sz w:val="21"/>
        </w:rPr>
        <w:t>10. Öğrenci başarısını artırma: sınav ve yarışma sonuçları, zümre eylem planı</w:t>
      </w:r>
    </w:p>
    <w:p>
      <w:pPr>
        <w:spacing w:after="80" w:before="0"/>
        <w:jc w:val="both"/>
      </w:pPr>
      <w:r>
        <w:rPr>
          <w:b w:val="0"/>
          <w:i w:val="0"/>
          <w:sz w:val="20"/>
        </w:rPr>
        <w:t>Eğitim Kurulları ve Zümreleri Yönergesinin 12 nci maddesinin sekizinci fıkrasının (j) bendi uyarınca öğrencilerin ulusal ve uluslararası sınav ile yarışma sonuçlarının derslerle ilişkilendirilerek değerlendirileceği, sonuçlara yönelik tespitlerin okulun mevcut verileriyle kıyaslanacağı ve gerekli tedbirleri içeren zümre eylem planının hazırlanıp uygulanacağı belirtildi.</w:t>
      </w:r>
    </w:p>
    <w:p>
      <w:pPr>
        <w:spacing w:after="80" w:before="0"/>
        <w:jc w:val="both"/>
      </w:pPr>
      <w:r>
        <w:rPr>
          <w:b w:val="0"/>
          <w:i w:val="0"/>
          <w:sz w:val="20"/>
        </w:rPr>
        <w:t>Branşı ilgilendiren sonuçlar okul verileriyle karşılaştırıldı.</w:t>
      </w:r>
    </w:p>
    <w:p>
      <w:pPr>
        <w:spacing w:after="80" w:before="0"/>
        <w:jc w:val="both"/>
      </w:pPr>
      <w:r>
        <w:rPr>
          <w:b w:val="0"/>
          <w:i w:val="0"/>
          <w:sz w:val="20"/>
        </w:rPr>
        <w:t>Hedeflerin ölçülebilir yazılmasının izlemeyi mümkün kıldığı; 'başarı artacaktır' yerine hedef grup, ölçme aracı, ölçüt ve tarih içeren cümle kurulması benimsendi. Aynı fıkranın (g) bendi kapsamında girişimcilik, araştırma-geliştirme ve tasarım becerilerine yönelik çalışmalar ile yarışmalara katılım için takım ve danışman planlaması görüşüldü.</w:t>
      </w:r>
    </w:p>
    <w:p>
      <w:pPr>
        <w:spacing w:before="60" w:after="100"/>
        <w:ind w:left="340"/>
        <w:jc w:val="both"/>
      </w:pPr>
      <w:r>
        <w:rPr>
          <w:b/>
          <w:color w:val="1F3B63"/>
          <w:sz w:val="20"/>
        </w:rPr>
        <w:t xml:space="preserve">KARAR 16 — </w:t>
      </w:r>
      <w:r>
        <w:rPr>
          <w:b w:val="0"/>
          <w:i w:val="0"/>
          <w:color w:val="C00000"/>
          <w:sz w:val="20"/>
        </w:rPr>
        <w:t>[Hedef grup]</w:t>
      </w:r>
      <w:r>
        <w:rPr>
          <w:b w:val="0"/>
          <w:i w:val="0"/>
          <w:sz w:val="20"/>
        </w:rPr>
        <w:t xml:space="preserve"> öğrencilerinin en az yüzde </w:t>
      </w:r>
      <w:r>
        <w:rPr>
          <w:b w:val="0"/>
          <w:i w:val="0"/>
          <w:color w:val="C00000"/>
          <w:sz w:val="20"/>
        </w:rPr>
        <w:t>[……………………]</w:t>
      </w:r>
      <w:r>
        <w:rPr>
          <w:b w:val="0"/>
          <w:i w:val="0"/>
          <w:sz w:val="20"/>
        </w:rPr>
        <w:t xml:space="preserve">'inin </w:t>
      </w:r>
      <w:r>
        <w:rPr>
          <w:b w:val="0"/>
          <w:i w:val="0"/>
          <w:color w:val="C00000"/>
          <w:sz w:val="20"/>
        </w:rPr>
        <w:t>[ölçme aracı]</w:t>
      </w:r>
      <w:r>
        <w:rPr>
          <w:b w:val="0"/>
          <w:i w:val="0"/>
          <w:sz w:val="20"/>
        </w:rPr>
        <w:t xml:space="preserve"> sonucunda </w:t>
      </w:r>
      <w:r>
        <w:rPr>
          <w:b w:val="0"/>
          <w:i w:val="0"/>
          <w:color w:val="C00000"/>
          <w:sz w:val="20"/>
        </w:rPr>
        <w:t>[ölçüt]</w:t>
      </w:r>
      <w:r>
        <w:rPr>
          <w:b w:val="0"/>
          <w:i w:val="0"/>
          <w:sz w:val="20"/>
        </w:rPr>
        <w:t xml:space="preserve"> düzeyine </w:t>
      </w:r>
      <w:r>
        <w:rPr>
          <w:b w:val="0"/>
          <w:i w:val="0"/>
          <w:color w:val="C00000"/>
          <w:sz w:val="20"/>
        </w:rPr>
        <w:t>[……………………]</w:t>
      </w:r>
      <w:r>
        <w:rPr>
          <w:b w:val="0"/>
          <w:i w:val="0"/>
          <w:sz w:val="20"/>
        </w:rPr>
        <w:t xml:space="preserve"> tarihine kadar ulaşmasının hedeflenmesine; bu hedefe yönelik zümre eylem planının </w:t>
      </w:r>
      <w:r>
        <w:rPr>
          <w:b w:val="0"/>
          <w:i w:val="0"/>
          <w:color w:val="C00000"/>
          <w:sz w:val="20"/>
        </w:rPr>
        <w:t>[……………………]</w:t>
      </w:r>
      <w:r>
        <w:rPr>
          <w:b w:val="0"/>
          <w:i w:val="0"/>
          <w:sz w:val="20"/>
        </w:rPr>
        <w:t xml:space="preserve"> tarihine kadar hazırlanarak uygulanmasına ve gerçekleşme durumunun ders yılı sonu toplantısında ölçülmesine karar verildi.</w:t>
      </w:r>
    </w:p>
    <w:p>
      <w:pPr>
        <w:spacing w:before="200" w:after="60"/>
        <w:keepNext/>
        <w:keepLines/>
      </w:pPr>
      <w:r>
        <w:rPr>
          <w:b/>
          <w:i w:val="0"/>
          <w:color w:val="1F3B63"/>
          <w:sz w:val="21"/>
        </w:rPr>
        <w:t>11. Ders ziyaretleri ile zümre içi ve zümreler arası iş birliği</w:t>
      </w:r>
    </w:p>
    <w:p>
      <w:pPr>
        <w:spacing w:after="80" w:before="0"/>
        <w:jc w:val="both"/>
      </w:pPr>
      <w:r>
        <w:rPr>
          <w:b w:val="0"/>
          <w:i w:val="0"/>
          <w:sz w:val="20"/>
        </w:rPr>
        <w:t>Yönergenin 12 nci maddesinin sekizinci fıkrasının (e) bendi uyarınca zümre öğretmenleri arasında her eğitim ve öğretim yılında en az bir ders ziyareti yapılmasının ittifakla alınacak zümre kararına bağlı olduğu; karar alınması hâlinde tutanağa oy birliği kaydının düşüleceği, ziyaret takvimi ve gözlem odağının belirleneceği belirtildi. Ziyaretin denetim değil öğrenme amaçlı olduğu, geri bildirimin yargılayıcı değil betimleyici verileceği vurgulandı.</w:t>
      </w:r>
    </w:p>
    <w:p>
      <w:pPr>
        <w:spacing w:after="80" w:before="0"/>
        <w:jc w:val="both"/>
      </w:pPr>
      <w:r>
        <w:rPr>
          <w:b w:val="0"/>
          <w:i w:val="0"/>
          <w:sz w:val="20"/>
        </w:rPr>
        <w:t>Aynı bent kapsamında diğer zümre ve alan öğretmenleriyle yapılabilecek iş birliği ve esasları görüşüldü. Yönergenin 13 üncü maddesinin onuncu fıkrası uyarınca okul müdürünün her ders yılında en az bir kez yürüttüğü izleme, değerlendirme ve rehberlik çalışmasına zümre başkanının da katılabileceği hatırlatıldı. Bununla birlikte, zümre başkanının bu çalışmalara katılmasına ilişkin hükmün yürütmesinin durdurulduğu yönünde haberler bulunduğu; konuya ilişkin resmî bir bildirimin bugün itibarıyla okulumuza ulaşmadığı belirtildi. Okula yazılı bir bilgi veya talimat ulaştığında ona göre hareket edileceği, o güne kadar mevcut düzenlemenin esas alınacağı kayda geçirildi.</w:t>
      </w:r>
    </w:p>
    <w:p>
      <w:pPr>
        <w:spacing w:before="60" w:after="100"/>
        <w:ind w:left="340"/>
        <w:jc w:val="both"/>
      </w:pPr>
      <w:r>
        <w:rPr>
          <w:b/>
          <w:color w:val="1F3B63"/>
          <w:sz w:val="20"/>
        </w:rPr>
        <w:t xml:space="preserve">KARAR 17 — </w:t>
      </w:r>
      <w:r>
        <w:rPr>
          <w:b w:val="0"/>
          <w:i w:val="0"/>
          <w:sz w:val="20"/>
        </w:rPr>
        <w:t xml:space="preserve">Zümre öğretmenleri arasında ders ziyareti yapılmasına / yapılmamasına oy birliğiyle karar verildi. </w:t>
      </w:r>
      <w:r>
        <w:rPr>
          <w:b w:val="0"/>
          <w:i w:val="0"/>
          <w:color w:val="C00000"/>
          <w:sz w:val="20"/>
        </w:rPr>
        <w:t>[Yapılması yönünde karar alınması hâlinde:]</w:t>
      </w:r>
      <w:r>
        <w:rPr>
          <w:b w:val="0"/>
          <w:i w:val="0"/>
          <w:sz w:val="20"/>
        </w:rPr>
        <w:t xml:space="preserve"> ziyaretlerin </w:t>
      </w:r>
      <w:r>
        <w:rPr>
          <w:b w:val="0"/>
          <w:i w:val="0"/>
          <w:color w:val="C00000"/>
          <w:sz w:val="20"/>
        </w:rPr>
        <w:t>[……………………]</w:t>
      </w:r>
      <w:r>
        <w:rPr>
          <w:b w:val="0"/>
          <w:i w:val="0"/>
          <w:sz w:val="20"/>
        </w:rPr>
        <w:t xml:space="preserve"> aylarında, gözlem odağı </w:t>
      </w:r>
      <w:r>
        <w:rPr>
          <w:b w:val="0"/>
          <w:i w:val="0"/>
          <w:color w:val="C00000"/>
          <w:sz w:val="20"/>
        </w:rPr>
        <w:t>[……………………]</w:t>
      </w:r>
      <w:r>
        <w:rPr>
          <w:b w:val="0"/>
          <w:i w:val="0"/>
          <w:sz w:val="20"/>
        </w:rPr>
        <w:t xml:space="preserve"> olacak şekilde yapılmasına ve geri bildirimlerin izleyen zümre toplantısında paylaşılmasına karar verildi.</w:t>
      </w:r>
    </w:p>
    <w:p>
      <w:pPr>
        <w:spacing w:before="200" w:after="60"/>
        <w:keepNext/>
        <w:keepLines/>
      </w:pPr>
      <w:r>
        <w:rPr>
          <w:b/>
          <w:i w:val="0"/>
          <w:color w:val="1F3B63"/>
          <w:sz w:val="21"/>
        </w:rPr>
        <w:t>12. Akademik, bilimsel ve teknolojik gelişmelerin izlenmesi</w:t>
      </w:r>
    </w:p>
    <w:p>
      <w:pPr>
        <w:spacing w:after="80" w:before="0"/>
        <w:jc w:val="both"/>
      </w:pPr>
      <w:r>
        <w:rPr>
          <w:b w:val="0"/>
          <w:i w:val="0"/>
          <w:sz w:val="20"/>
        </w:rPr>
        <w:t>Yönergenin 12 nci maddesinin sekizinci fıkrasının (f) ve (g) bentleri uyarınca alanla ilgili akademik ve bilimsel çalışmalar ile yapay zekâ araçları dâhil teknolojik gelişmelerin izlenmesi, müzakere edilmesi ve sınıf uygulamalarına yansıtılması hususu görüşüldü. Hangi üyenin hangi kaynağı izleyeceği ve bulguların hangi toplantıda paylaşılacağı madde 3 çizelgesiyle uyumlu biçimde belirlendi.</w:t>
      </w:r>
    </w:p>
    <w:p>
      <w:pPr>
        <w:spacing w:before="60" w:after="100"/>
        <w:ind w:left="340"/>
        <w:jc w:val="both"/>
      </w:pPr>
      <w:r>
        <w:rPr>
          <w:b/>
          <w:color w:val="1F3B63"/>
          <w:sz w:val="20"/>
        </w:rPr>
        <w:t xml:space="preserve">KARAR 18 — </w:t>
      </w:r>
      <w:r>
        <w:rPr>
          <w:b w:val="0"/>
          <w:i w:val="0"/>
          <w:sz w:val="20"/>
        </w:rPr>
        <w:t xml:space="preserve">Alandaki gelişmelerin izlenmesi görevinin </w:t>
      </w:r>
      <w:r>
        <w:rPr>
          <w:b w:val="0"/>
          <w:i w:val="0"/>
          <w:color w:val="C00000"/>
          <w:sz w:val="20"/>
        </w:rPr>
        <w:t>[Ad SOYAD]</w:t>
      </w:r>
      <w:r>
        <w:rPr>
          <w:b w:val="0"/>
          <w:i w:val="0"/>
          <w:sz w:val="20"/>
        </w:rPr>
        <w:t xml:space="preserve"> tarafından yürütülmesine; izlenen kaynaklardan çıkan bulguların her olağan zümre toplantısında paylaşılarak sınıf uygulamalarına yansıtılmasına karar verildi.</w:t>
      </w:r>
    </w:p>
    <w:p>
      <w:pPr>
        <w:spacing w:before="200" w:after="60"/>
        <w:keepNext/>
        <w:keepLines/>
      </w:pPr>
      <w:r>
        <w:rPr>
          <w:b/>
          <w:i w:val="0"/>
          <w:color w:val="1F3B63"/>
          <w:sz w:val="21"/>
        </w:rPr>
        <w:t>13. Araç-gereç, öğretim materyalleri, eğitim ortamları ve mali kaynak ihtiyaçları</w:t>
      </w:r>
    </w:p>
    <w:p>
      <w:pPr>
        <w:spacing w:after="80" w:before="0"/>
        <w:jc w:val="both"/>
      </w:pPr>
      <w:r>
        <w:rPr>
          <w:b w:val="0"/>
          <w:i w:val="0"/>
          <w:sz w:val="20"/>
        </w:rPr>
        <w:t>Yönergenin 12 nci maddesinin sekizinci fıkrasının (ğ) ve (ü) bentleri uyarınca derslerde ihtiyaç duyulan araç-gereç ve materyaller ile laboratuvar, kütüphane, spor salonu ve atölye gibi ortamların etkin kullanım planı görüşüldü; yıl içindeki faaliyetler için araç-gereç ve mali kaynak ihtiyaçları listelendi. Listenin, 13 üncü maddenin yedinci fıkrası uyarınca zümre başkanı aracılığıyla okul zümre başkanları kurulu üzerinden okul yönetimine bildirileceği kararlaştırıldı.</w:t>
      </w:r>
    </w:p>
    <w:p>
      <w:pPr>
        <w:spacing w:after="80" w:before="0"/>
        <w:jc w:val="both"/>
      </w:pPr>
      <w:r>
        <w:rPr>
          <w:b w:val="0"/>
          <w:i w:val="0"/>
          <w:sz w:val="20"/>
        </w:rPr>
        <w:t>2026/70 sayılı Genelgenin 29 uncu bendi uyarınca Bakanlıkça ücretsiz dağıtılan kaynaklar dışındaki materyallerin okulda kullandırılmayacağı, velilerin belirli markalara veya yüksek maliyetli setlere mecbur bırakılamayacağı vurgulandı.</w:t>
      </w:r>
    </w:p>
    <w:p>
      <w:pPr>
        <w:spacing w:before="60" w:after="100"/>
        <w:ind w:left="340"/>
        <w:jc w:val="both"/>
      </w:pPr>
      <w:r>
        <w:rPr>
          <w:b/>
          <w:color w:val="1F3B63"/>
          <w:sz w:val="20"/>
        </w:rPr>
        <w:t xml:space="preserve">KARAR 19 — </w:t>
      </w:r>
      <w:r>
        <w:rPr>
          <w:b w:val="0"/>
          <w:i w:val="0"/>
          <w:sz w:val="20"/>
        </w:rPr>
        <w:t xml:space="preserve">Zümrenin araç-gereç, materyal ve eğitim ortamı ihtiyaç listesinin </w:t>
      </w:r>
      <w:r>
        <w:rPr>
          <w:b w:val="0"/>
          <w:i w:val="0"/>
          <w:color w:val="C00000"/>
          <w:sz w:val="20"/>
        </w:rPr>
        <w:t>[……………………]</w:t>
      </w:r>
      <w:r>
        <w:rPr>
          <w:b w:val="0"/>
          <w:i w:val="0"/>
          <w:sz w:val="20"/>
        </w:rPr>
        <w:t xml:space="preserve"> tarihine kadar hazırlanarak zümre başkanı aracılığıyla okul yönetimine bildirilmesine; Bakanlıkça ücretsiz dağıtılanlar dışında hiçbir materyalin öğrenciye aldırılmamasına karar verildi.</w:t>
      </w:r>
    </w:p>
    <w:p>
      <w:pPr>
        <w:spacing w:before="200" w:after="60"/>
        <w:keepNext/>
        <w:keepLines/>
      </w:pPr>
      <w:r>
        <w:rPr>
          <w:b/>
          <w:i w:val="0"/>
          <w:color w:val="1F3B63"/>
          <w:sz w:val="21"/>
        </w:rPr>
        <w:t>14. Deney, proje, anket, araştırma, gezi ve gözlemler; okul dışı öğrenme ortamları</w:t>
      </w:r>
    </w:p>
    <w:p>
      <w:pPr>
        <w:spacing w:after="80" w:before="0"/>
        <w:jc w:val="both"/>
      </w:pPr>
      <w:r>
        <w:rPr>
          <w:b w:val="0"/>
          <w:i w:val="0"/>
          <w:sz w:val="20"/>
        </w:rPr>
        <w:t>Yönergenin 12 nci maddesinin sekizinci fıkrasının (h) bendi uyarınca konu ve öğrenme çıktısı uygunluğuna göre okul dışı öğrenme ortamlarının (müze, bilim merkezi, tarihî ve doğal alanlar) kullanımı planlanarak yıllık plana işlenmesi görüşüldü. Gezi planlarının Eğitim Kurumları Sosyal Etkinlikler Yönetmeliğine göre onaya sunulacağı; tarih ve güzergâhın belirsiz olduğu hâllerde kararın başvuru yapılması yönünde kurulacağı belirtildi. Deney, anket ve araştırma etkinliklerinin gerekli izin süreçleriyle birlikte takvimlendirilmesi benimsendi.</w:t>
      </w:r>
    </w:p>
    <w:p>
      <w:pPr>
        <w:spacing w:before="60" w:after="100"/>
        <w:ind w:left="340"/>
        <w:jc w:val="both"/>
      </w:pPr>
      <w:r>
        <w:rPr>
          <w:b/>
          <w:color w:val="1F3B63"/>
          <w:sz w:val="20"/>
        </w:rPr>
        <w:t xml:space="preserve">KARAR 20 — </w:t>
      </w:r>
      <w:r>
        <w:rPr>
          <w:b w:val="0"/>
          <w:i w:val="0"/>
          <w:color w:val="C00000"/>
          <w:sz w:val="20"/>
        </w:rPr>
        <w:t>[……………………]</w:t>
      </w:r>
      <w:r>
        <w:rPr>
          <w:b w:val="0"/>
          <w:i w:val="0"/>
          <w:sz w:val="20"/>
        </w:rPr>
        <w:t xml:space="preserve"> konusunda </w:t>
      </w:r>
      <w:r>
        <w:rPr>
          <w:b w:val="0"/>
          <w:i w:val="0"/>
          <w:color w:val="C00000"/>
          <w:sz w:val="20"/>
        </w:rPr>
        <w:t>[……………………]</w:t>
      </w:r>
      <w:r>
        <w:rPr>
          <w:b w:val="0"/>
          <w:i w:val="0"/>
          <w:sz w:val="20"/>
        </w:rPr>
        <w:t xml:space="preserve"> ayında </w:t>
      </w:r>
      <w:r>
        <w:rPr>
          <w:b w:val="0"/>
          <w:i w:val="0"/>
          <w:color w:val="C00000"/>
          <w:sz w:val="20"/>
        </w:rPr>
        <w:t>[yer]</w:t>
      </w:r>
      <w:r>
        <w:rPr>
          <w:b w:val="0"/>
          <w:i w:val="0"/>
          <w:sz w:val="20"/>
        </w:rPr>
        <w:t xml:space="preserve"> gezisi için Sosyal Etkinlikler Yönetmeliği hükümlerine göre başvuru yapılmasına; okul dışı öğrenme ortamlarına ilişkin planlamaların yıllık plana işlenmesine karar verildi.</w:t>
      </w:r>
    </w:p>
    <w:p>
      <w:pPr>
        <w:spacing w:before="200" w:after="60"/>
        <w:keepNext/>
        <w:keepLines/>
      </w:pPr>
      <w:r>
        <w:rPr>
          <w:b/>
          <w:i w:val="0"/>
          <w:color w:val="1F3B63"/>
          <w:sz w:val="21"/>
        </w:rPr>
        <w:t>15. Üst düzey düşünme ve sosyal-duygusal beceriler, çoklu okuryazarlık ve değerler</w:t>
      </w:r>
    </w:p>
    <w:p>
      <w:pPr>
        <w:spacing w:after="80" w:before="0"/>
        <w:jc w:val="both"/>
      </w:pPr>
      <w:r>
        <w:rPr>
          <w:b w:val="0"/>
          <w:i w:val="0"/>
          <w:sz w:val="20"/>
        </w:rPr>
        <w:t>Yönergenin 12 nci maddesinin sekizinci fıkrasının (p), (r) ve (t) bentleri uyarınca karar verme, problem çözme ve eleştirel düşünme gibi üst düzey düşünme becerileri ile sosyal-duygusal öğrenme becerilerine yönelik planlamalar görüşüldü; bilgi, dijital, finansal, görsel ve kültür okuryazarlığı gibi çoklu okuryazarlık becerilerinin ders içeriğiyle ilişkilendirilmesi kararlaştırıldı.</w:t>
      </w:r>
    </w:p>
    <w:p>
      <w:pPr>
        <w:spacing w:after="80" w:before="0"/>
        <w:jc w:val="both"/>
      </w:pPr>
      <w:r>
        <w:rPr>
          <w:b w:val="0"/>
          <w:i w:val="0"/>
          <w:sz w:val="20"/>
        </w:rPr>
        <w:t>Millî, manevi ve ahlaki değerlerin ders konuları içinde örtük öğrenme yoluyla kazandırılacağı; Türkiye Yüzyılı Maarif Modeli'nin uygulandığı sınıflarda temaların değerler ile sosyal-duygusal öğrenme becerileri bileşenlerinin yıllık plana yansıtılacağı, ayrı bir değerler dersi ihdas edilmeyeceği belirtildi.</w:t>
      </w:r>
    </w:p>
    <w:p>
      <w:pPr>
        <w:spacing w:before="60" w:after="100"/>
        <w:ind w:left="340"/>
        <w:jc w:val="both"/>
      </w:pPr>
      <w:r>
        <w:rPr>
          <w:b/>
          <w:color w:val="1F3B63"/>
          <w:sz w:val="20"/>
        </w:rPr>
        <w:t xml:space="preserve">KARAR 21 — </w:t>
      </w:r>
      <w:r>
        <w:rPr>
          <w:b w:val="0"/>
          <w:i w:val="0"/>
          <w:sz w:val="20"/>
        </w:rPr>
        <w:t xml:space="preserve">Beceri ve değer bileşenlerinin yıllık planda tema/ünite bazında gösterilmesine; her dönemde en az </w:t>
      </w:r>
      <w:r>
        <w:rPr>
          <w:b w:val="0"/>
          <w:i w:val="0"/>
          <w:color w:val="C00000"/>
          <w:sz w:val="20"/>
        </w:rPr>
        <w:t>[……………………]</w:t>
      </w:r>
      <w:r>
        <w:rPr>
          <w:b w:val="0"/>
          <w:i w:val="0"/>
          <w:sz w:val="20"/>
        </w:rPr>
        <w:t xml:space="preserve"> etkinliğin üst düzey düşünme ve sosyal-duygusal beceri kazanımına dönük olarak planlanmasına karar verildi.</w:t>
      </w:r>
    </w:p>
    <w:p>
      <w:pPr>
        <w:spacing w:before="200" w:after="60"/>
        <w:keepNext/>
        <w:keepLines/>
      </w:pPr>
      <w:r>
        <w:rPr>
          <w:b/>
          <w:i w:val="0"/>
          <w:color w:val="1F3B63"/>
          <w:sz w:val="21"/>
        </w:rPr>
        <w:t>16. Önleme, müdahale ve yönlendirme komisyonu kapsamındaki çalışmalar</w:t>
      </w:r>
    </w:p>
    <w:p>
      <w:pPr>
        <w:spacing w:after="80" w:before="0"/>
        <w:jc w:val="both"/>
      </w:pPr>
      <w:r>
        <w:rPr>
          <w:b w:val="0"/>
          <w:i w:val="0"/>
          <w:sz w:val="20"/>
        </w:rPr>
        <w:t>Ortaöğretim Kurumları Yönetmeliğinin 59/A maddesi uyarınca sınıf tekrarına kalma riski bulunan öğrencilerin desteklenmesi amacıyla kurulan önleme, müdahale ve yönlendirme komisyonunun çalışmalarına zümre olarak nasıl katkı verileceği görüşüldü; komisyonda ilgili zümre başkanlarının yer aldığı hatırlatıldı.</w:t>
      </w:r>
    </w:p>
    <w:p>
      <w:pPr>
        <w:spacing w:after="80" w:before="0"/>
        <w:jc w:val="both"/>
      </w:pPr>
      <w:r>
        <w:rPr>
          <w:b w:val="0"/>
          <w:i w:val="0"/>
          <w:sz w:val="20"/>
        </w:rPr>
        <w:t>Zümreye düşen işin; dersinden başarısız olma riski taşıyan öğrencilerin ilk sınav analizleriyle erken tespiti, rehberlik servisiyle bilgi paylaşımı, destekleme çalışmalarına yönlendirme ve müdahalelerin sonuçlarının izlenmesi olduğu belirtildi. Tutanağa öğrenci adı yazılmayacağı, sayısal özet kullanılacağı ve isim listesinin ayrı yazıyla iletileceği kayda geçirildi.</w:t>
      </w:r>
    </w:p>
    <w:p>
      <w:pPr>
        <w:spacing w:before="60" w:after="100"/>
        <w:ind w:left="340"/>
        <w:jc w:val="both"/>
      </w:pPr>
      <w:r>
        <w:rPr>
          <w:b/>
          <w:color w:val="1F3B63"/>
          <w:sz w:val="20"/>
        </w:rPr>
        <w:t xml:space="preserve">KARAR 22 — </w:t>
      </w:r>
      <w:r>
        <w:rPr>
          <w:b w:val="0"/>
          <w:i w:val="0"/>
          <w:sz w:val="20"/>
        </w:rPr>
        <w:t>Her sınav penceresinden sonra dersinden başarısız olma riski taşıyan öğrenci sayısının şube bazında tespit edilerek isim listesinin ayrı yazıyla rehberlik servisine ve önleme, müdahale ve yönlendirme komisyonuna iletilmesine; destekleme adımlarının (ders içi telafi, MEBİ ve EBA görevleri, destekleme ve yetiştirme kursu yönlendirmesi) ilgili ders öğretmenlerince uygulanmasına karar verildi.</w:t>
      </w:r>
    </w:p>
    <w:p>
      <w:pPr>
        <w:spacing w:before="200" w:after="60"/>
        <w:keepNext/>
        <w:keepLines/>
      </w:pPr>
      <w:r>
        <w:rPr>
          <w:b/>
          <w:i w:val="0"/>
          <w:color w:val="1F3B63"/>
          <w:sz w:val="21"/>
        </w:rPr>
        <w:t>17. Disiplinler arası yaklaşım ve ortak çalışmaların takvimi</w:t>
      </w:r>
    </w:p>
    <w:p>
      <w:pPr>
        <w:spacing w:after="80" w:before="0"/>
        <w:jc w:val="both"/>
      </w:pPr>
      <w:r>
        <w:rPr>
          <w:b w:val="0"/>
          <w:i w:val="0"/>
          <w:sz w:val="20"/>
        </w:rPr>
        <w:t>Yönergenin 12 nci maddesinin sekizinci fıkrasının (ş) bendi uyarınca öğrenme çıktılarının derslerle ve günlük yaşamla ilişkilendirilmesi amacıyla diğer zümrelerle yapılacak ortak çalışmalar belirlendi ve takvime bağlandı. Öğretim programlarındaki disiplinler arası ilişkiler bölümünün eşleştirmede esas alınacağı; her ortak çalışmanın konu, iş ortağı zümre, tarih ve sorumlu belirtilerek karara yazılacağı benimsendi.</w:t>
      </w:r>
    </w:p>
    <w:p>
      <w:pPr>
        <w:spacing w:before="60" w:after="100"/>
        <w:ind w:left="340"/>
        <w:jc w:val="both"/>
      </w:pPr>
      <w:r>
        <w:rPr>
          <w:b/>
          <w:color w:val="1F3B63"/>
          <w:sz w:val="20"/>
        </w:rPr>
        <w:t xml:space="preserve">KARAR 23 — </w:t>
      </w:r>
      <w:r>
        <w:rPr>
          <w:b w:val="0"/>
          <w:i w:val="0"/>
          <w:color w:val="C00000"/>
          <w:sz w:val="20"/>
        </w:rPr>
        <w:t>[……………………]</w:t>
      </w:r>
      <w:r>
        <w:rPr>
          <w:b w:val="0"/>
          <w:i w:val="0"/>
          <w:sz w:val="20"/>
        </w:rPr>
        <w:t xml:space="preserve"> zümresiyle </w:t>
      </w:r>
      <w:r>
        <w:rPr>
          <w:b w:val="0"/>
          <w:i w:val="0"/>
          <w:color w:val="C00000"/>
          <w:sz w:val="20"/>
        </w:rPr>
        <w:t>[……………………]</w:t>
      </w:r>
      <w:r>
        <w:rPr>
          <w:b w:val="0"/>
          <w:i w:val="0"/>
          <w:sz w:val="20"/>
        </w:rPr>
        <w:t xml:space="preserve"> konusunda </w:t>
      </w:r>
      <w:r>
        <w:rPr>
          <w:b w:val="0"/>
          <w:i w:val="0"/>
          <w:color w:val="C00000"/>
          <w:sz w:val="20"/>
        </w:rPr>
        <w:t>[……………………]</w:t>
      </w:r>
      <w:r>
        <w:rPr>
          <w:b w:val="0"/>
          <w:i w:val="0"/>
          <w:sz w:val="20"/>
        </w:rPr>
        <w:t xml:space="preserve"> tarihinde ortak çalışma yapılmasına, sorumluluğun </w:t>
      </w:r>
      <w:r>
        <w:rPr>
          <w:b w:val="0"/>
          <w:i w:val="0"/>
          <w:color w:val="C00000"/>
          <w:sz w:val="20"/>
        </w:rPr>
        <w:t>[Ad SOYAD]</w:t>
      </w:r>
      <w:r>
        <w:rPr>
          <w:b w:val="0"/>
          <w:i w:val="0"/>
          <w:sz w:val="20"/>
        </w:rPr>
        <w:t xml:space="preserve"> tarafından yürütülmesine karar verildi.</w:t>
      </w:r>
    </w:p>
    <w:p>
      <w:pPr>
        <w:spacing w:before="200" w:after="60"/>
        <w:keepNext/>
        <w:keepLines/>
      </w:pPr>
      <w:r>
        <w:rPr>
          <w:b/>
          <w:i w:val="0"/>
          <w:color w:val="1F3B63"/>
          <w:sz w:val="21"/>
        </w:rPr>
        <w:t>18. Sosyal sorumluluk programı kapsamında ders bazında faaliyetler</w:t>
      </w:r>
    </w:p>
    <w:p>
      <w:pPr>
        <w:spacing w:after="80" w:before="0"/>
        <w:jc w:val="both"/>
      </w:pPr>
      <w:r>
        <w:rPr>
          <w:b w:val="0"/>
          <w:i w:val="0"/>
          <w:sz w:val="20"/>
        </w:rPr>
        <w:t>Ortaöğretim Kurumları Yönetmeliğinin 50 nci maddesinin birinci fıkrası uyarınca öğrencilerin ortaöğretim boyunca en az kırk saatlik sosyal sorumluluk programı çalışması yapmasının esas olduğu, aynı maddenin yedinci fıkrası uyarınca bu çalışmaların puanla değerlendirilmeyip belgelendirileceği belirtildi. Branşla ilişkili gönüllülük, çevre ve toplum hizmeti çalışmalarının ders kapsamında nasıl yürütülebileceği görüşüldü; teklif ve çalışma planlarının ilgili yönerge ekindeki formlarla okul koordinasyonuna sunulacağı kararlaştırıldı.</w:t>
      </w:r>
    </w:p>
    <w:p>
      <w:pPr>
        <w:spacing w:after="80" w:before="0"/>
        <w:jc w:val="both"/>
      </w:pPr>
      <w:r>
        <w:rPr>
          <w:b w:val="0"/>
          <w:i w:val="0"/>
          <w:sz w:val="20"/>
        </w:rPr>
        <w:t>Çalışmaların yürütülmesine ilişkin iş bölümü tartışmaya açıldı. Çalışma önerilerinin dersin öğretim programıyla ve öğrenme çıktılarıyla bağının ancak alan öğretmenlerince kurulabileceği, bu nedenle önerilerin zümre toplantılarında planlanmasının uygun olduğu; buna karşılık yürütmenin ders saatleri dışında ve öğrenci grupları hâlinde gerçekleştiği, öğrencilerin kulüp yapısı içinde zaten örgütlendiği dikkate alındığında çalışmaların kulüp danışman öğretmenlerince yürütülmesinin ve takibinin de onlarca yapılmasının koordinasyonu kolaylaştıracağı ve saat kayıtlarının tek elden izlenmesini sağlayacağı değerlendirildi; bu yöntem benimsendi.</w:t>
      </w:r>
    </w:p>
    <w:p>
      <w:pPr>
        <w:spacing w:before="60" w:after="100"/>
        <w:ind w:left="340"/>
        <w:jc w:val="both"/>
      </w:pPr>
      <w:r>
        <w:rPr>
          <w:b/>
          <w:color w:val="1F3B63"/>
          <w:sz w:val="20"/>
        </w:rPr>
        <w:t xml:space="preserve">KARAR 24 — </w:t>
      </w:r>
      <w:r>
        <w:rPr>
          <w:b w:val="0"/>
          <w:i w:val="0"/>
          <w:sz w:val="20"/>
        </w:rPr>
        <w:t xml:space="preserve">Ders kapsamında </w:t>
      </w:r>
      <w:r>
        <w:rPr>
          <w:b w:val="0"/>
          <w:i w:val="0"/>
          <w:color w:val="C00000"/>
          <w:sz w:val="20"/>
        </w:rPr>
        <w:t>[……………………]</w:t>
      </w:r>
      <w:r>
        <w:rPr>
          <w:b w:val="0"/>
          <w:i w:val="0"/>
          <w:sz w:val="20"/>
        </w:rPr>
        <w:t xml:space="preserve"> konulu sosyal sorumluluk faaliyetinin planlanmasına ve teklifin ilgili formla okul sosyal etkinlikler kuruluna sunulmasına; zümrece planlanan çalışmaların yürütülmesi ile öğrenci katılımının ve saatlerinin takibinin kulüp danışman öğretmenlerince yapılmasına, zümrenin bu süreçte danışman öğretmenlere ders içeriği yönünden destek vermesine karar verildi.</w:t>
      </w:r>
    </w:p>
    <w:p>
      <w:pPr>
        <w:spacing w:before="200" w:after="60"/>
        <w:keepNext/>
        <w:keepLines/>
      </w:pPr>
      <w:r>
        <w:rPr>
          <w:b/>
          <w:i w:val="0"/>
          <w:color w:val="1F3B63"/>
          <w:sz w:val="21"/>
        </w:rPr>
        <w:t>19. İş sağlığı ve güvenliği tedbirleri</w:t>
      </w:r>
    </w:p>
    <w:p>
      <w:pPr>
        <w:spacing w:after="80" w:before="0"/>
        <w:jc w:val="both"/>
      </w:pPr>
      <w:r>
        <w:rPr>
          <w:b w:val="0"/>
          <w:i w:val="0"/>
          <w:sz w:val="20"/>
        </w:rPr>
        <w:t>Yönergenin 12 nci maddesinin sekizinci fıkrasının (m) bendi ile 6331 sayılı İş Sağlığı ve Güvenliği Kanunu çerçevesinde branşın çalışma ortamlarına özgü riskler değerlendirildi: laboratuvar kimyasalları ve deney güvenliği, spor salonu ve saha zemini ile ekipman kontrolü, atölyedeki kesici aletler ve boya malzemeleri, elektrikli cihazlar ve gezi güvenliği üzerinde duruldu. Acil durum planı ve tahliye güzergâhlarının öğrencilerle paylaşılacağı belirtildi.</w:t>
      </w:r>
    </w:p>
    <w:p>
      <w:pPr>
        <w:spacing w:before="60" w:after="100"/>
        <w:ind w:left="340"/>
        <w:jc w:val="both"/>
      </w:pPr>
      <w:r>
        <w:rPr>
          <w:b/>
          <w:color w:val="1F3B63"/>
          <w:sz w:val="20"/>
        </w:rPr>
        <w:t xml:space="preserve">KARAR 25 — </w:t>
      </w:r>
      <w:r>
        <w:rPr>
          <w:b w:val="0"/>
          <w:i w:val="0"/>
          <w:color w:val="C00000"/>
          <w:sz w:val="20"/>
        </w:rPr>
        <w:t>[……………………]</w:t>
      </w:r>
      <w:r>
        <w:rPr>
          <w:b w:val="0"/>
          <w:i w:val="0"/>
          <w:sz w:val="20"/>
        </w:rPr>
        <w:t xml:space="preserve"> ortamına ilişkin tedbirlerin (</w:t>
      </w:r>
      <w:r>
        <w:rPr>
          <w:b w:val="0"/>
          <w:i w:val="0"/>
          <w:color w:val="C00000"/>
          <w:sz w:val="20"/>
        </w:rPr>
        <w:t>[……………………]</w:t>
      </w:r>
      <w:r>
        <w:rPr>
          <w:b w:val="0"/>
          <w:i w:val="0"/>
          <w:sz w:val="20"/>
        </w:rPr>
        <w:t xml:space="preserve">) alınmasına ve sorumluluğun </w:t>
      </w:r>
      <w:r>
        <w:rPr>
          <w:b w:val="0"/>
          <w:i w:val="0"/>
          <w:color w:val="C00000"/>
          <w:sz w:val="20"/>
        </w:rPr>
        <w:t>[Ad SOYAD]</w:t>
      </w:r>
      <w:r>
        <w:rPr>
          <w:b w:val="0"/>
          <w:i w:val="0"/>
          <w:sz w:val="20"/>
        </w:rPr>
        <w:t xml:space="preserve"> tarafından yürütülmesine; okul risk değerlendirmesine bildirilmesi gereken hususların yazılı olarak okul yönetimine iletilmesine karar verildi.</w:t>
      </w:r>
    </w:p>
    <w:p>
      <w:pPr>
        <w:spacing w:before="200" w:after="60"/>
        <w:keepNext/>
        <w:keepLines/>
      </w:pPr>
      <w:r>
        <w:rPr>
          <w:b/>
          <w:i w:val="0"/>
          <w:color w:val="1F3B63"/>
          <w:sz w:val="21"/>
        </w:rPr>
        <w:t>20. Dilek, temenniler ve kapanış</w:t>
      </w:r>
    </w:p>
    <w:p>
      <w:pPr>
        <w:spacing w:after="80" w:before="0"/>
        <w:jc w:val="both"/>
      </w:pPr>
      <w:r>
        <w:rPr>
          <w:b w:val="0"/>
          <w:i w:val="0"/>
          <w:sz w:val="20"/>
        </w:rPr>
        <w:t>Gündem dışı dilek ve öneriler alındı. Yazman, alınan kararları numarasıyla okudu. Bir sonraki olağan toplantının kasım ayında yapılacağı; o toplantıya birinci dönem birinci sınav analizleri, yıllık plan uygulama raporu ve TTKB-İDES giriş dökümüyle gelineceği belirtildi. Başkan, katılım için teşekkür ederek toplantıyı kapattı.</w:t>
      </w:r>
    </w:p>
    <w:p>
      <w:pPr>
        <w:spacing w:before="60" w:after="100"/>
        <w:ind w:left="340"/>
        <w:jc w:val="both"/>
      </w:pPr>
      <w:r>
        <w:rPr>
          <w:b/>
          <w:color w:val="1F3B63"/>
          <w:sz w:val="20"/>
        </w:rPr>
        <w:t xml:space="preserve">KARAR 26 — </w:t>
      </w:r>
      <w:r>
        <w:rPr>
          <w:b w:val="0"/>
          <w:i w:val="0"/>
          <w:sz w:val="20"/>
        </w:rPr>
        <w:t>Kasım ayındaki olağan zümre toplantısına birinci dönem birinci sınav analizleri, yıllık plan uygulama raporu ve görev-izleme tablosunun güncel durumuyla gelinmesine karar verildi.</w:t>
      </w:r>
    </w:p>
    <w:p>
      <w:pPr>
        <w:spacing w:after="80" w:before="200"/>
        <w:keepNext/>
        <w:keepLines/>
      </w:pPr>
      <w:r>
        <w:rPr>
          <w:b/>
          <w:i w:val="0"/>
          <w:color w:val="1F3B63"/>
          <w:sz w:val="22"/>
        </w:rPr>
        <w:t>DÖNEM SONUNA KADAR YAPILACAK ÇALIŞMALAR — GÖREV VE İZLEME TABLOSU</w:t>
      </w:r>
    </w:p>
    <w:tbl>
      <w:tblPr>
        <w:tblStyle w:val="TableGrid"/>
        <w:tblW w:w="10091" w:type="dxa"/>
        <w:jc w:val="center"/>
        <w:tblLayout w:type="fixed"/>
        <w:tblLook w:firstColumn="1" w:firstRow="1" w:lastColumn="0" w:lastRow="0" w:noHBand="0" w:noVBand="1" w:val="04A0"/>
      </w:tblPr>
      <w:tblGrid>
        <w:gridCol w:w="2948"/>
        <w:gridCol w:w="1587"/>
        <w:gridCol w:w="1701"/>
        <w:gridCol w:w="2041"/>
        <w:gridCol w:w="1814"/>
      </w:tblGrid>
      <w:tr>
        <w:tc>
          <w:tcPr>
            <w:tcW w:w="2948" w:type="dxa"/>
            <w:shd w:val="clear" w:fill="F2F2F2"/>
          </w:tcPr>
          <w:p>
            <w:r/>
            <w:r>
              <w:rPr>
                <w:b/>
                <w:i w:val="0"/>
                <w:sz w:val="18"/>
              </w:rPr>
              <w:t>Ne yapılacak?</w:t>
            </w:r>
          </w:p>
        </w:tc>
        <w:tc>
          <w:tcPr>
            <w:tcW w:w="1587" w:type="dxa"/>
            <w:shd w:val="clear" w:fill="F2F2F2"/>
          </w:tcPr>
          <w:p>
            <w:r/>
            <w:r>
              <w:rPr>
                <w:b/>
                <w:i w:val="0"/>
                <w:sz w:val="18"/>
              </w:rPr>
              <w:t>Kim(ler)?</w:t>
            </w:r>
          </w:p>
        </w:tc>
        <w:tc>
          <w:tcPr>
            <w:tcW w:w="1701" w:type="dxa"/>
            <w:shd w:val="clear" w:fill="F2F2F2"/>
          </w:tcPr>
          <w:p>
            <w:r/>
            <w:r>
              <w:rPr>
                <w:b/>
                <w:i w:val="0"/>
                <w:sz w:val="18"/>
              </w:rPr>
              <w:t>Ne zaman?</w:t>
            </w:r>
          </w:p>
        </w:tc>
        <w:tc>
          <w:tcPr>
            <w:tcW w:w="2041" w:type="dxa"/>
            <w:shd w:val="clear" w:fill="F2F2F2"/>
          </w:tcPr>
          <w:p>
            <w:r/>
            <w:r>
              <w:rPr>
                <w:b/>
                <w:i w:val="0"/>
                <w:sz w:val="18"/>
              </w:rPr>
              <w:t>Nasıl?</w:t>
            </w:r>
          </w:p>
        </w:tc>
        <w:tc>
          <w:tcPr>
            <w:tcW w:w="1814" w:type="dxa"/>
            <w:shd w:val="clear" w:fill="F2F2F2"/>
          </w:tcPr>
          <w:p>
            <w:r/>
            <w:r>
              <w:rPr>
                <w:b/>
                <w:i w:val="0"/>
                <w:sz w:val="18"/>
              </w:rPr>
              <w:t>İzleme göstergesi</w:t>
            </w:r>
          </w:p>
        </w:tc>
      </w:tr>
      <w:tr>
        <w:tc>
          <w:tcPr>
            <w:tcW w:w="2948" w:type="dxa"/>
          </w:tcPr>
          <w:p>
            <w:r/>
            <w:r>
              <w:rPr>
                <w:b w:val="0"/>
                <w:i w:val="0"/>
                <w:sz w:val="18"/>
              </w:rPr>
              <w:t>Yıllık planların hazırlanıp okul yönetimine teslimi</w:t>
            </w:r>
          </w:p>
        </w:tc>
        <w:tc>
          <w:tcPr>
            <w:tcW w:w="1587" w:type="dxa"/>
          </w:tcPr>
          <w:p>
            <w:r/>
            <w:r>
              <w:rPr>
                <w:b w:val="0"/>
                <w:i w:val="0"/>
                <w:color w:val="C00000"/>
                <w:sz w:val="18"/>
              </w:rPr>
              <w:t>[Tüm üyeler]</w:t>
            </w:r>
          </w:p>
        </w:tc>
        <w:tc>
          <w:tcPr>
            <w:tcW w:w="1701" w:type="dxa"/>
          </w:tcPr>
          <w:p>
            <w:r/>
            <w:r>
              <w:rPr>
                <w:b w:val="0"/>
                <w:i w:val="0"/>
                <w:color w:val="C00000"/>
                <w:sz w:val="18"/>
              </w:rPr>
              <w:t>[……………………]</w:t>
            </w:r>
            <w:r>
              <w:rPr>
                <w:b w:val="0"/>
                <w:i w:val="0"/>
                <w:sz w:val="18"/>
              </w:rPr>
              <w:t>/09/2026</w:t>
            </w:r>
          </w:p>
        </w:tc>
        <w:tc>
          <w:tcPr>
            <w:tcW w:w="2041" w:type="dxa"/>
          </w:tcPr>
          <w:p>
            <w:r/>
            <w:r>
              <w:rPr>
                <w:b w:val="0"/>
                <w:i w:val="0"/>
                <w:sz w:val="18"/>
              </w:rPr>
              <w:t>Zümrece ortak; Bakanlık çerçeve planları esas alınarak</w:t>
            </w:r>
          </w:p>
        </w:tc>
        <w:tc>
          <w:tcPr>
            <w:tcW w:w="1814" w:type="dxa"/>
          </w:tcPr>
          <w:p>
            <w:r/>
            <w:r>
              <w:rPr>
                <w:b w:val="0"/>
                <w:i w:val="0"/>
                <w:sz w:val="18"/>
              </w:rPr>
              <w:t>Müdür onaylı plan</w:t>
            </w:r>
          </w:p>
        </w:tc>
      </w:tr>
      <w:tr>
        <w:tc>
          <w:tcPr>
            <w:tcW w:w="2948" w:type="dxa"/>
          </w:tcPr>
          <w:p>
            <w:r/>
            <w:r>
              <w:rPr>
                <w:b w:val="0"/>
                <w:i w:val="0"/>
                <w:sz w:val="18"/>
              </w:rPr>
              <w:t>Ders yılı başı ön değerlendirme uygulaması</w:t>
            </w:r>
          </w:p>
        </w:tc>
        <w:tc>
          <w:tcPr>
            <w:tcW w:w="1587" w:type="dxa"/>
          </w:tcPr>
          <w:p>
            <w:r/>
            <w:r>
              <w:rPr>
                <w:b w:val="0"/>
                <w:i w:val="0"/>
                <w:color w:val="C00000"/>
                <w:sz w:val="18"/>
              </w:rPr>
              <w:t>[……………………]</w:t>
            </w:r>
          </w:p>
        </w:tc>
        <w:tc>
          <w:tcPr>
            <w:tcW w:w="1701" w:type="dxa"/>
          </w:tcPr>
          <w:p>
            <w:r/>
            <w:r>
              <w:rPr>
                <w:b w:val="0"/>
                <w:i w:val="0"/>
                <w:color w:val="C00000"/>
                <w:sz w:val="18"/>
              </w:rPr>
              <w:t>[Eylül sonu]</w:t>
            </w:r>
          </w:p>
        </w:tc>
        <w:tc>
          <w:tcPr>
            <w:tcW w:w="2041" w:type="dxa"/>
          </w:tcPr>
          <w:p>
            <w:r/>
            <w:r>
              <w:rPr>
                <w:b w:val="0"/>
                <w:i w:val="0"/>
                <w:sz w:val="18"/>
              </w:rPr>
              <w:t>Ortak araçla, puanla değerlendirilmeksizin</w:t>
            </w:r>
          </w:p>
        </w:tc>
        <w:tc>
          <w:tcPr>
            <w:tcW w:w="1814" w:type="dxa"/>
          </w:tcPr>
          <w:p>
            <w:r/>
            <w:r>
              <w:rPr>
                <w:b w:val="0"/>
                <w:i w:val="0"/>
                <w:sz w:val="18"/>
              </w:rPr>
              <w:t>Analiz özeti zümre dosyasında</w:t>
            </w:r>
          </w:p>
        </w:tc>
      </w:tr>
      <w:tr>
        <w:tc>
          <w:tcPr>
            <w:tcW w:w="2948" w:type="dxa"/>
          </w:tcPr>
          <w:p>
            <w:r/>
            <w:r>
              <w:rPr>
                <w:b w:val="0"/>
                <w:i w:val="0"/>
                <w:sz w:val="18"/>
              </w:rPr>
              <w:t>Merkezî sınav senaryosu ve tablo duyurularının takibi</w:t>
            </w:r>
          </w:p>
        </w:tc>
        <w:tc>
          <w:tcPr>
            <w:tcW w:w="1587" w:type="dxa"/>
          </w:tcPr>
          <w:p>
            <w:r/>
            <w:r>
              <w:rPr>
                <w:b w:val="0"/>
                <w:i w:val="0"/>
                <w:color w:val="C00000"/>
                <w:sz w:val="18"/>
              </w:rPr>
              <w:t>[Zümre başkanı]</w:t>
            </w:r>
          </w:p>
        </w:tc>
        <w:tc>
          <w:tcPr>
            <w:tcW w:w="1701" w:type="dxa"/>
          </w:tcPr>
          <w:p>
            <w:r/>
            <w:r>
              <w:rPr>
                <w:b w:val="0"/>
                <w:i w:val="0"/>
                <w:sz w:val="18"/>
              </w:rPr>
              <w:t>Duyuru yayımlandığında</w:t>
            </w:r>
          </w:p>
        </w:tc>
        <w:tc>
          <w:tcPr>
            <w:tcW w:w="2041" w:type="dxa"/>
          </w:tcPr>
          <w:p>
            <w:r/>
            <w:r>
              <w:rPr>
                <w:b w:val="0"/>
                <w:i w:val="0"/>
                <w:sz w:val="18"/>
              </w:rPr>
              <w:t>Bakanlık ve il/ilçe duyuruları izlenir</w:t>
            </w:r>
          </w:p>
        </w:tc>
        <w:tc>
          <w:tcPr>
            <w:tcW w:w="1814" w:type="dxa"/>
          </w:tcPr>
          <w:p>
            <w:r/>
            <w:r>
              <w:rPr>
                <w:b w:val="0"/>
                <w:i w:val="0"/>
                <w:sz w:val="18"/>
              </w:rPr>
              <w:t>Ara zümre tutanağı ve e-Okul ilan kaydı</w:t>
            </w:r>
          </w:p>
        </w:tc>
      </w:tr>
      <w:tr>
        <w:tc>
          <w:tcPr>
            <w:tcW w:w="2948" w:type="dxa"/>
          </w:tcPr>
          <w:p>
            <w:r/>
            <w:r>
              <w:rPr>
                <w:b w:val="0"/>
                <w:i w:val="0"/>
                <w:sz w:val="18"/>
              </w:rPr>
              <w:t>Birinci dönem birinci ortak yazılı: tablo, soru ve cevap anahtarı</w:t>
            </w:r>
          </w:p>
        </w:tc>
        <w:tc>
          <w:tcPr>
            <w:tcW w:w="1587" w:type="dxa"/>
          </w:tcPr>
          <w:p>
            <w:r/>
            <w:r>
              <w:rPr>
                <w:b w:val="0"/>
                <w:i w:val="0"/>
                <w:color w:val="C00000"/>
                <w:sz w:val="18"/>
              </w:rPr>
              <w:t>[……………………]</w:t>
            </w:r>
          </w:p>
        </w:tc>
        <w:tc>
          <w:tcPr>
            <w:tcW w:w="1701" w:type="dxa"/>
          </w:tcPr>
          <w:p>
            <w:r/>
            <w:r>
              <w:rPr>
                <w:b w:val="0"/>
                <w:i w:val="0"/>
                <w:sz w:val="18"/>
              </w:rPr>
              <w:t>Tablo 10, evrak 5 iş günü önce</w:t>
            </w:r>
          </w:p>
        </w:tc>
        <w:tc>
          <w:tcPr>
            <w:tcW w:w="2041" w:type="dxa"/>
          </w:tcPr>
          <w:p>
            <w:r/>
            <w:r>
              <w:rPr>
                <w:b w:val="0"/>
                <w:i w:val="0"/>
                <w:sz w:val="18"/>
              </w:rPr>
              <w:t>Konu soru dağılım tablosuna uygun</w:t>
            </w:r>
          </w:p>
        </w:tc>
        <w:tc>
          <w:tcPr>
            <w:tcW w:w="1814" w:type="dxa"/>
          </w:tcPr>
          <w:p>
            <w:r/>
            <w:r>
              <w:rPr>
                <w:b w:val="0"/>
                <w:i w:val="0"/>
                <w:sz w:val="18"/>
              </w:rPr>
              <w:t>İdareye teslim kaydı</w:t>
            </w:r>
          </w:p>
        </w:tc>
      </w:tr>
      <w:tr>
        <w:tc>
          <w:tcPr>
            <w:tcW w:w="2948" w:type="dxa"/>
          </w:tcPr>
          <w:p>
            <w:r/>
            <w:r>
              <w:rPr>
                <w:b w:val="0"/>
                <w:i w:val="0"/>
                <w:sz w:val="18"/>
              </w:rPr>
              <w:t>Sınav analizi ve telafi planı</w:t>
            </w:r>
          </w:p>
        </w:tc>
        <w:tc>
          <w:tcPr>
            <w:tcW w:w="1587" w:type="dxa"/>
          </w:tcPr>
          <w:p>
            <w:r/>
            <w:r>
              <w:rPr>
                <w:b w:val="0"/>
                <w:i w:val="0"/>
                <w:color w:val="C00000"/>
                <w:sz w:val="18"/>
              </w:rPr>
              <w:t>[Ders öğretmenleri]</w:t>
            </w:r>
          </w:p>
        </w:tc>
        <w:tc>
          <w:tcPr>
            <w:tcW w:w="1701" w:type="dxa"/>
          </w:tcPr>
          <w:p>
            <w:r/>
            <w:r>
              <w:rPr>
                <w:b w:val="0"/>
                <w:i w:val="0"/>
                <w:sz w:val="18"/>
              </w:rPr>
              <w:t>Sınavı izleyen 10 iş günü</w:t>
            </w:r>
          </w:p>
        </w:tc>
        <w:tc>
          <w:tcPr>
            <w:tcW w:w="2041" w:type="dxa"/>
          </w:tcPr>
          <w:p>
            <w:r/>
            <w:r>
              <w:rPr>
                <w:b w:val="0"/>
                <w:i w:val="0"/>
                <w:sz w:val="18"/>
              </w:rPr>
              <w:t>Sınav sonuç değerlendirme formu</w:t>
            </w:r>
          </w:p>
        </w:tc>
        <w:tc>
          <w:tcPr>
            <w:tcW w:w="1814" w:type="dxa"/>
          </w:tcPr>
          <w:p>
            <w:r/>
            <w:r>
              <w:rPr>
                <w:b w:val="0"/>
                <w:i w:val="0"/>
                <w:sz w:val="18"/>
              </w:rPr>
              <w:t>Ders defteri açıklama kaydı</w:t>
            </w:r>
          </w:p>
        </w:tc>
      </w:tr>
      <w:tr>
        <w:tc>
          <w:tcPr>
            <w:tcW w:w="2948" w:type="dxa"/>
          </w:tcPr>
          <w:p>
            <w:r/>
            <w:r>
              <w:rPr>
                <w:b w:val="0"/>
                <w:i w:val="0"/>
                <w:sz w:val="18"/>
              </w:rPr>
              <w:t>Performans ölçeklerinin öğrencilere duyurulması</w:t>
            </w:r>
          </w:p>
        </w:tc>
        <w:tc>
          <w:tcPr>
            <w:tcW w:w="1587" w:type="dxa"/>
          </w:tcPr>
          <w:p>
            <w:r/>
            <w:r>
              <w:rPr>
                <w:b w:val="0"/>
                <w:i w:val="0"/>
                <w:color w:val="C00000"/>
                <w:sz w:val="18"/>
              </w:rPr>
              <w:t>[……………………]</w:t>
            </w:r>
          </w:p>
        </w:tc>
        <w:tc>
          <w:tcPr>
            <w:tcW w:w="1701" w:type="dxa"/>
          </w:tcPr>
          <w:p>
            <w:r/>
            <w:r>
              <w:rPr>
                <w:b w:val="0"/>
                <w:i w:val="0"/>
                <w:color w:val="C00000"/>
                <w:sz w:val="18"/>
              </w:rPr>
              <w:t>[Dönem başı]</w:t>
            </w:r>
          </w:p>
        </w:tc>
        <w:tc>
          <w:tcPr>
            <w:tcW w:w="2041" w:type="dxa"/>
          </w:tcPr>
          <w:p>
            <w:r/>
            <w:r>
              <w:rPr>
                <w:b w:val="0"/>
                <w:i w:val="0"/>
                <w:sz w:val="18"/>
              </w:rPr>
              <w:t>e-Okul duyurusu ve sınıf panosu</w:t>
            </w:r>
          </w:p>
        </w:tc>
        <w:tc>
          <w:tcPr>
            <w:tcW w:w="1814" w:type="dxa"/>
          </w:tcPr>
          <w:p>
            <w:r/>
            <w:r>
              <w:rPr>
                <w:b w:val="0"/>
                <w:i w:val="0"/>
                <w:sz w:val="18"/>
              </w:rPr>
              <w:t>Duyuru kaydı</w:t>
            </w:r>
          </w:p>
        </w:tc>
      </w:tr>
      <w:tr>
        <w:tc>
          <w:tcPr>
            <w:tcW w:w="2948" w:type="dxa"/>
          </w:tcPr>
          <w:p>
            <w:r/>
            <w:r>
              <w:rPr>
                <w:b w:val="0"/>
                <w:i w:val="0"/>
                <w:sz w:val="18"/>
              </w:rPr>
              <w:t>Proje konu seçimi ve e-Okul girişleri</w:t>
            </w:r>
          </w:p>
        </w:tc>
        <w:tc>
          <w:tcPr>
            <w:tcW w:w="1587" w:type="dxa"/>
          </w:tcPr>
          <w:p>
            <w:r/>
            <w:r>
              <w:rPr>
                <w:b w:val="0"/>
                <w:i w:val="0"/>
                <w:color w:val="C00000"/>
                <w:sz w:val="18"/>
              </w:rPr>
              <w:t>[……………………]</w:t>
            </w:r>
          </w:p>
        </w:tc>
        <w:tc>
          <w:tcPr>
            <w:tcW w:w="1701" w:type="dxa"/>
          </w:tcPr>
          <w:p>
            <w:r/>
            <w:r>
              <w:rPr>
                <w:b w:val="0"/>
                <w:i w:val="0"/>
                <w:color w:val="C00000"/>
                <w:sz w:val="18"/>
              </w:rPr>
              <w:t>[Ekim-Kasım]</w:t>
            </w:r>
          </w:p>
        </w:tc>
        <w:tc>
          <w:tcPr>
            <w:tcW w:w="2041" w:type="dxa"/>
          </w:tcPr>
          <w:p>
            <w:r/>
            <w:r>
              <w:rPr>
                <w:b w:val="0"/>
                <w:i w:val="0"/>
                <w:sz w:val="18"/>
              </w:rPr>
              <w:t>Sınıf rehber öğretmenleriyle eşgüdüm</w:t>
            </w:r>
          </w:p>
        </w:tc>
        <w:tc>
          <w:tcPr>
            <w:tcW w:w="1814" w:type="dxa"/>
          </w:tcPr>
          <w:p>
            <w:r/>
            <w:r>
              <w:rPr>
                <w:b w:val="0"/>
                <w:i w:val="0"/>
                <w:sz w:val="18"/>
              </w:rPr>
              <w:t>e-Okul proje kayıtları</w:t>
            </w:r>
          </w:p>
        </w:tc>
      </w:tr>
      <w:tr>
        <w:tc>
          <w:tcPr>
            <w:tcW w:w="2948" w:type="dxa"/>
          </w:tcPr>
          <w:p>
            <w:r/>
            <w:r>
              <w:rPr>
                <w:b w:val="0"/>
                <w:i w:val="0"/>
                <w:color w:val="C00000"/>
                <w:sz w:val="18"/>
              </w:rPr>
              <w:t>[Diğer kararlardan inen satırlar]</w:t>
            </w:r>
          </w:p>
        </w:tc>
        <w:tc>
          <w:tcPr>
            <w:tcW w:w="1587" w:type="dxa"/>
          </w:tcPr>
          <w:p>
            <w:r/>
          </w:p>
        </w:tc>
        <w:tc>
          <w:tcPr>
            <w:tcW w:w="1701" w:type="dxa"/>
          </w:tcPr>
          <w:p>
            <w:r/>
          </w:p>
        </w:tc>
        <w:tc>
          <w:tcPr>
            <w:tcW w:w="2041" w:type="dxa"/>
          </w:tcPr>
          <w:p>
            <w:r/>
          </w:p>
        </w:tc>
        <w:tc>
          <w:tcPr>
            <w:tcW w:w="1814" w:type="dxa"/>
          </w:tcPr>
          <w:p>
            <w:r/>
          </w:p>
        </w:tc>
      </w:tr>
    </w:tbl>
    <w:p>
      <w:pPr>
        <w:spacing w:after="60" w:before="0"/>
      </w:pPr>
    </w:p>
    <w:p>
      <w:pPr>
        <w:spacing w:after="80" w:before="200"/>
        <w:keepNext/>
        <w:keepLines/>
      </w:pPr>
      <w:r>
        <w:rPr>
          <w:b/>
          <w:i w:val="0"/>
          <w:color w:val="1F3B63"/>
          <w:sz w:val="22"/>
        </w:rPr>
        <w:t>EKLER</w:t>
      </w:r>
    </w:p>
    <w:p>
      <w:pPr>
        <w:spacing w:after="40" w:before="0"/>
        <w:ind w:left="340" w:hanging="227"/>
        <w:jc w:val="both"/>
      </w:pPr>
      <w:r>
        <w:rPr>
          <w:b w:val="0"/>
          <w:i w:val="0"/>
          <w:sz w:val="18"/>
        </w:rPr>
        <w:t>• EK-1: Konu soru dağılım tablosu/tabloları</w:t>
      </w:r>
    </w:p>
    <w:p>
      <w:pPr>
        <w:spacing w:after="40" w:before="0"/>
        <w:ind w:left="340" w:hanging="227"/>
        <w:jc w:val="both"/>
      </w:pPr>
      <w:r>
        <w:rPr>
          <w:b w:val="0"/>
          <w:i w:val="0"/>
          <w:sz w:val="18"/>
        </w:rPr>
        <w:t>• EK-2: Dereceli puanlama anahtarları, dereceleme ölçekleri ve kontrol listeleri</w:t>
      </w:r>
    </w:p>
    <w:p>
      <w:pPr>
        <w:spacing w:after="40" w:before="0"/>
        <w:ind w:left="340" w:hanging="227"/>
        <w:jc w:val="both"/>
      </w:pPr>
      <w:r>
        <w:rPr>
          <w:b w:val="0"/>
          <w:i w:val="0"/>
          <w:sz w:val="18"/>
        </w:rPr>
        <w:t>• EK-3: Performans puanı değerlendirme ölçeği (örnek şablon — bu tutanağın son sayfalarındadır, zümrece branşa uyarlanır)</w:t>
      </w:r>
    </w:p>
    <w:p>
      <w:pPr>
        <w:spacing w:after="40" w:before="0"/>
        <w:ind w:left="340" w:hanging="227"/>
        <w:jc w:val="both"/>
      </w:pPr>
      <w:r>
        <w:rPr>
          <w:b w:val="0"/>
          <w:i w:val="0"/>
          <w:sz w:val="18"/>
        </w:rPr>
        <w:t>• EK-4: Proje konu havuzu ve proje dereceli puanlama anahtarı</w:t>
      </w:r>
    </w:p>
    <w:p>
      <w:pPr>
        <w:spacing w:after="40" w:before="0"/>
        <w:ind w:left="340" w:hanging="227"/>
        <w:jc w:val="both"/>
      </w:pPr>
      <w:r>
        <w:rPr>
          <w:b w:val="0"/>
          <w:i w:val="0"/>
          <w:sz w:val="18"/>
        </w:rPr>
        <w:t xml:space="preserve">• EK-5: </w:t>
      </w:r>
      <w:r>
        <w:rPr>
          <w:b w:val="0"/>
          <w:i w:val="0"/>
          <w:color w:val="C00000"/>
          <w:sz w:val="18"/>
        </w:rPr>
        <w:t>[Dil dersleri]</w:t>
      </w:r>
      <w:r>
        <w:rPr>
          <w:b w:val="0"/>
          <w:i w:val="0"/>
          <w:sz w:val="18"/>
        </w:rPr>
        <w:t xml:space="preserve"> Eser listesi ile eleştirel okuma, dinleme/izleme formu</w:t>
      </w:r>
    </w:p>
    <w:p>
      <w:pPr>
        <w:spacing w:after="40" w:before="0"/>
        <w:ind w:left="340" w:hanging="227"/>
        <w:jc w:val="both"/>
      </w:pPr>
      <w:r>
        <w:rPr>
          <w:b w:val="0"/>
          <w:i w:val="0"/>
          <w:sz w:val="18"/>
        </w:rPr>
        <w:t xml:space="preserve">• EK-6: </w:t>
      </w:r>
      <w:r>
        <w:rPr>
          <w:b w:val="0"/>
          <w:i w:val="0"/>
          <w:color w:val="C00000"/>
          <w:sz w:val="18"/>
        </w:rPr>
        <w:t>[Varsa]</w:t>
      </w:r>
      <w:r>
        <w:rPr>
          <w:b w:val="0"/>
          <w:i w:val="0"/>
          <w:sz w:val="18"/>
        </w:rPr>
        <w:t xml:space="preserve"> Zümre eylem planı</w:t>
      </w:r>
    </w:p>
    <w:p>
      <w:pPr>
        <w:spacing w:after="80" w:before="200"/>
        <w:keepNext/>
        <w:keepLines/>
      </w:pPr>
      <w:r>
        <w:rPr>
          <w:b/>
          <w:i w:val="0"/>
          <w:color w:val="1F3B63"/>
          <w:sz w:val="22"/>
        </w:rPr>
        <w:t>TUTANAĞIN DAYANDIĞI MEVZUAT</w:t>
      </w:r>
    </w:p>
    <w:p>
      <w:pPr>
        <w:spacing w:after="80" w:before="0"/>
        <w:jc w:val="both"/>
      </w:pPr>
      <w:r>
        <w:rPr>
          <w:b w:val="0"/>
          <w:i w:val="0"/>
          <w:sz w:val="18"/>
        </w:rPr>
        <w:t>Aşağıdaki çizelge, bu tutanağın gövdesinde anılan hükümlerin künyelerini toplar. 'Profesyonel Öğrenme Toplulukları Olarak Zümreler' (MEB OGM, Ocak 2023) tutanak biçiminin kaynağı olan kılavuz kitaptır; bağlayıcı dayanak değildir.</w:t>
      </w:r>
    </w:p>
    <w:tbl>
      <w:tblPr>
        <w:tblStyle w:val="TableGrid"/>
        <w:tblW w:w="10092" w:type="dxa"/>
        <w:jc w:val="center"/>
        <w:tblLayout w:type="fixed"/>
        <w:tblLook w:firstColumn="1" w:firstRow="1" w:lastColumn="0" w:lastRow="0" w:noHBand="0" w:noVBand="1" w:val="04A0"/>
      </w:tblPr>
      <w:tblGrid>
        <w:gridCol w:w="6350"/>
        <w:gridCol w:w="3742"/>
      </w:tblGrid>
      <w:tr>
        <w:tc>
          <w:tcPr>
            <w:tcW w:w="6350" w:type="dxa"/>
            <w:shd w:val="clear" w:fill="F2F2F2"/>
          </w:tcPr>
          <w:p>
            <w:r/>
            <w:r>
              <w:rPr>
                <w:b/>
                <w:i w:val="0"/>
                <w:sz w:val="18"/>
              </w:rPr>
              <w:t>Mevzuat / künye</w:t>
            </w:r>
          </w:p>
        </w:tc>
        <w:tc>
          <w:tcPr>
            <w:tcW w:w="3742" w:type="dxa"/>
            <w:shd w:val="clear" w:fill="F2F2F2"/>
          </w:tcPr>
          <w:p>
            <w:r/>
            <w:r>
              <w:rPr>
                <w:b/>
                <w:i w:val="0"/>
                <w:sz w:val="18"/>
              </w:rPr>
              <w:t>Tutanakta ilgili gündem maddeleri</w:t>
            </w:r>
          </w:p>
        </w:tc>
      </w:tr>
      <w:tr>
        <w:tc>
          <w:tcPr>
            <w:tcW w:w="6350" w:type="dxa"/>
          </w:tcPr>
          <w:p>
            <w:r/>
            <w:r>
              <w:rPr>
                <w:b w:val="0"/>
                <w:i w:val="0"/>
                <w:sz w:val="18"/>
              </w:rPr>
              <w:t>Millî Eğitim Bakanlığı Eğitim Kurulları ve Zümreleri Yönergesi (son değişiklik: 12.02.2025 tarihli ve 126419167 sayılı Makam Onayı)</w:t>
            </w:r>
          </w:p>
        </w:tc>
        <w:tc>
          <w:tcPr>
            <w:tcW w:w="3742" w:type="dxa"/>
          </w:tcPr>
          <w:p>
            <w:r/>
            <w:r>
              <w:rPr>
                <w:b w:val="0"/>
                <w:i w:val="0"/>
                <w:sz w:val="18"/>
              </w:rPr>
              <w:t>Bütün maddeler; özellikle 1, 2, 3, 11, 17</w:t>
            </w:r>
          </w:p>
        </w:tc>
      </w:tr>
      <w:tr>
        <w:tc>
          <w:tcPr>
            <w:tcW w:w="6350" w:type="dxa"/>
          </w:tcPr>
          <w:p>
            <w:r/>
            <w:r>
              <w:rPr>
                <w:b w:val="0"/>
                <w:i w:val="0"/>
                <w:sz w:val="18"/>
              </w:rPr>
              <w:t>Millî Eğitim Bakanlığı Ortaöğretim Kurumları Yönetmeliği (RG 07.09.2013/28758; ölçme ve değerlendirme hükümlerinde son değişiklikler RG 08.09.2023/32303 ve RG 22.02.2025/32821)</w:t>
            </w:r>
          </w:p>
        </w:tc>
        <w:tc>
          <w:tcPr>
            <w:tcW w:w="3742" w:type="dxa"/>
          </w:tcPr>
          <w:p>
            <w:r/>
            <w:r>
              <w:rPr>
                <w:b w:val="0"/>
                <w:i w:val="0"/>
                <w:sz w:val="18"/>
              </w:rPr>
              <w:t>3, 8-A, 8-B, 8-C, 8-D, 8-E, 8-F, 9, 16, 18</w:t>
            </w:r>
          </w:p>
        </w:tc>
      </w:tr>
      <w:tr>
        <w:tc>
          <w:tcPr>
            <w:tcW w:w="6350" w:type="dxa"/>
          </w:tcPr>
          <w:p>
            <w:r/>
            <w:r>
              <w:rPr>
                <w:b w:val="0"/>
                <w:i w:val="0"/>
                <w:sz w:val="18"/>
              </w:rPr>
              <w:t>Millî Eğitim Bakanlığı Ölçme ve Değerlendirme Yönetmeliği (RG 09.09.2023/32304)</w:t>
            </w:r>
          </w:p>
        </w:tc>
        <w:tc>
          <w:tcPr>
            <w:tcW w:w="3742" w:type="dxa"/>
          </w:tcPr>
          <w:p>
            <w:r/>
            <w:r>
              <w:rPr>
                <w:b w:val="0"/>
                <w:i w:val="0"/>
                <w:sz w:val="18"/>
              </w:rPr>
              <w:t>8-A, 8-F</w:t>
            </w:r>
          </w:p>
        </w:tc>
      </w:tr>
      <w:tr>
        <w:tc>
          <w:tcPr>
            <w:tcW w:w="6350" w:type="dxa"/>
          </w:tcPr>
          <w:p>
            <w:r/>
            <w:r>
              <w:rPr>
                <w:b w:val="0"/>
                <w:i w:val="0"/>
                <w:sz w:val="18"/>
              </w:rPr>
              <w:t>Millî Eğitim Bakanlığı Yazılı ve Uygulamalı Sınavlar Yönergesi (11.10.2023 tarihli ve E-76592376-10.04-86847281 sayılı Makam Oluru)</w:t>
            </w:r>
          </w:p>
        </w:tc>
        <w:tc>
          <w:tcPr>
            <w:tcW w:w="3742" w:type="dxa"/>
          </w:tcPr>
          <w:p>
            <w:r/>
            <w:r>
              <w:rPr>
                <w:b w:val="0"/>
                <w:i w:val="0"/>
                <w:sz w:val="18"/>
              </w:rPr>
              <w:t>8-A, 8-C, 8-E, 8-F</w:t>
            </w:r>
          </w:p>
        </w:tc>
      </w:tr>
      <w:tr>
        <w:tc>
          <w:tcPr>
            <w:tcW w:w="6350" w:type="dxa"/>
          </w:tcPr>
          <w:p>
            <w:r/>
            <w:r>
              <w:rPr>
                <w:b w:val="0"/>
                <w:i w:val="0"/>
                <w:sz w:val="18"/>
              </w:rPr>
              <w:t>Millî Eğitim Bakanlığı Eğitim Öğretim Çalışmalarının Planlı Yürütülmesine İlişkin Yönerge</w:t>
            </w:r>
          </w:p>
        </w:tc>
        <w:tc>
          <w:tcPr>
            <w:tcW w:w="3742" w:type="dxa"/>
          </w:tcPr>
          <w:p>
            <w:r/>
            <w:r>
              <w:rPr>
                <w:b w:val="0"/>
                <w:i w:val="0"/>
                <w:sz w:val="18"/>
              </w:rPr>
              <w:t>6, 7, 9</w:t>
            </w:r>
          </w:p>
        </w:tc>
      </w:tr>
      <w:tr>
        <w:tc>
          <w:tcPr>
            <w:tcW w:w="6350" w:type="dxa"/>
          </w:tcPr>
          <w:p>
            <w:r/>
            <w:r>
              <w:rPr>
                <w:b w:val="0"/>
                <w:i w:val="0"/>
                <w:sz w:val="18"/>
              </w:rPr>
              <w:t>Türkiye Yüzyılı Maarif Modeli'ne İlişkin İş ve İşlemler Genelgesi (2024/54, 16.08.2024)</w:t>
            </w:r>
          </w:p>
        </w:tc>
        <w:tc>
          <w:tcPr>
            <w:tcW w:w="3742" w:type="dxa"/>
          </w:tcPr>
          <w:p>
            <w:r/>
            <w:r>
              <w:rPr>
                <w:b w:val="0"/>
                <w:i w:val="0"/>
                <w:sz w:val="18"/>
              </w:rPr>
              <w:t>4, 5, 7, 8, 8-C</w:t>
            </w:r>
          </w:p>
        </w:tc>
      </w:tr>
      <w:tr>
        <w:tc>
          <w:tcPr>
            <w:tcW w:w="6350" w:type="dxa"/>
          </w:tcPr>
          <w:p>
            <w:r/>
            <w:r>
              <w:rPr>
                <w:b w:val="0"/>
                <w:i w:val="0"/>
                <w:sz w:val="18"/>
              </w:rPr>
              <w:t>2026-2027 Eğitim ve Öğretim Yılına İlişkin İş ve İşlemler Genelgesi (2026/70; E-35427624-010.06-166588055, 19.08.2026)</w:t>
            </w:r>
          </w:p>
        </w:tc>
        <w:tc>
          <w:tcPr>
            <w:tcW w:w="3742" w:type="dxa"/>
          </w:tcPr>
          <w:p>
            <w:r/>
            <w:r>
              <w:rPr>
                <w:b w:val="0"/>
                <w:i w:val="0"/>
                <w:sz w:val="18"/>
              </w:rPr>
              <w:t>4, 6, 7, 8, 8-A, 13</w:t>
            </w:r>
          </w:p>
        </w:tc>
      </w:tr>
      <w:tr>
        <w:tc>
          <w:tcPr>
            <w:tcW w:w="6350" w:type="dxa"/>
          </w:tcPr>
          <w:p>
            <w:r/>
            <w:r>
              <w:rPr>
                <w:b w:val="0"/>
                <w:i w:val="0"/>
                <w:sz w:val="18"/>
              </w:rPr>
              <w:t>2488 sayılı Tebliğler Dergisi (Atatürkçülük konuları)</w:t>
            </w:r>
          </w:p>
        </w:tc>
        <w:tc>
          <w:tcPr>
            <w:tcW w:w="3742" w:type="dxa"/>
          </w:tcPr>
          <w:p>
            <w:r/>
            <w:r>
              <w:rPr>
                <w:b w:val="0"/>
                <w:i w:val="0"/>
                <w:sz w:val="18"/>
              </w:rPr>
              <w:t>6</w:t>
            </w:r>
          </w:p>
        </w:tc>
      </w:tr>
      <w:tr>
        <w:tc>
          <w:tcPr>
            <w:tcW w:w="6350" w:type="dxa"/>
          </w:tcPr>
          <w:p>
            <w:r/>
            <w:r>
              <w:rPr>
                <w:b w:val="0"/>
                <w:i w:val="0"/>
                <w:sz w:val="18"/>
              </w:rPr>
              <w:t>Millî Eğitim Bakanlığı Eğitim Kurumları Sosyal Etkinlikler Yönetmeliği</w:t>
            </w:r>
          </w:p>
        </w:tc>
        <w:tc>
          <w:tcPr>
            <w:tcW w:w="3742" w:type="dxa"/>
          </w:tcPr>
          <w:p>
            <w:r/>
            <w:r>
              <w:rPr>
                <w:b w:val="0"/>
                <w:i w:val="0"/>
                <w:sz w:val="18"/>
              </w:rPr>
              <w:t>14</w:t>
            </w:r>
          </w:p>
        </w:tc>
      </w:tr>
      <w:tr>
        <w:tc>
          <w:tcPr>
            <w:tcW w:w="6350" w:type="dxa"/>
          </w:tcPr>
          <w:p>
            <w:r/>
            <w:r>
              <w:rPr>
                <w:b w:val="0"/>
                <w:i w:val="0"/>
                <w:sz w:val="18"/>
              </w:rPr>
              <w:t>Millî Eğitim Bakanlığı Sosyal Sorumluluk Programı ile Hayat Boyu Öğrenme ve Sertifikasyon Uygulama Yönergesi</w:t>
            </w:r>
          </w:p>
        </w:tc>
        <w:tc>
          <w:tcPr>
            <w:tcW w:w="3742" w:type="dxa"/>
          </w:tcPr>
          <w:p>
            <w:r/>
            <w:r>
              <w:rPr>
                <w:b w:val="0"/>
                <w:i w:val="0"/>
                <w:sz w:val="18"/>
              </w:rPr>
              <w:t>18</w:t>
            </w:r>
          </w:p>
        </w:tc>
      </w:tr>
      <w:tr>
        <w:tc>
          <w:tcPr>
            <w:tcW w:w="6350" w:type="dxa"/>
          </w:tcPr>
          <w:p>
            <w:r/>
            <w:r>
              <w:rPr>
                <w:b w:val="0"/>
                <w:i w:val="0"/>
                <w:sz w:val="18"/>
              </w:rPr>
              <w:t>6331 sayılı İş Sağlığı ve Güvenliği Kanunu</w:t>
            </w:r>
          </w:p>
        </w:tc>
        <w:tc>
          <w:tcPr>
            <w:tcW w:w="3742" w:type="dxa"/>
          </w:tcPr>
          <w:p>
            <w:r/>
            <w:r>
              <w:rPr>
                <w:b w:val="0"/>
                <w:i w:val="0"/>
                <w:sz w:val="18"/>
              </w:rPr>
              <w:t>19</w:t>
            </w:r>
          </w:p>
        </w:tc>
      </w:tr>
      <w:tr>
        <w:tc>
          <w:tcPr>
            <w:tcW w:w="6350" w:type="dxa"/>
          </w:tcPr>
          <w:p>
            <w:r/>
            <w:r>
              <w:rPr>
                <w:b w:val="0"/>
                <w:i w:val="0"/>
                <w:sz w:val="18"/>
              </w:rPr>
              <w:t>Okulun yazılı ve uygulamalı sınavlar uygulama yönergesi (okul içi düzenleme; okulunuzda böyle bir yönerge varsa künyesi buraya yazılır, yoksa satır silinir)</w:t>
            </w:r>
          </w:p>
        </w:tc>
        <w:tc>
          <w:tcPr>
            <w:tcW w:w="3742" w:type="dxa"/>
          </w:tcPr>
          <w:p>
            <w:r/>
            <w:r>
              <w:rPr>
                <w:b w:val="0"/>
                <w:i w:val="0"/>
                <w:sz w:val="18"/>
              </w:rPr>
              <w:t>8-A, 8-E</w:t>
            </w:r>
          </w:p>
        </w:tc>
      </w:tr>
    </w:tbl>
    <w:p>
      <w:pPr>
        <w:spacing w:after="60" w:before="0"/>
      </w:pPr>
    </w:p>
    <w:p>
      <w:pPr>
        <w:spacing w:after="80" w:before="200"/>
        <w:keepNext/>
        <w:keepLines/>
      </w:pPr>
      <w:r>
        <w:rPr>
          <w:b/>
          <w:i w:val="0"/>
          <w:color w:val="1F3B63"/>
          <w:sz w:val="22"/>
        </w:rPr>
        <w:t>İMZALAR VE ONAY</w:t>
      </w:r>
    </w:p>
    <w:p>
      <w:pPr>
        <w:spacing w:after="100" w:before="0"/>
        <w:jc w:val="both"/>
      </w:pPr>
      <w:r>
        <w:rPr>
          <w:b w:val="0"/>
          <w:i w:val="0"/>
          <w:sz w:val="18"/>
        </w:rPr>
        <w:t>Bu tutanak, toplantı sırasında ya da hemen sonrasında doldurularak zümrede görev yapan bütün öğretmenlerce imzalanır, zümre çalışmaları dosyasında saklanır ve bir örneği okul yönetimine teslim edilir.</w:t>
      </w:r>
    </w:p>
    <w:tbl>
      <w:tblPr>
        <w:tblStyle w:val="TableGrid"/>
        <w:tblW w:w="10092" w:type="dxa"/>
        <w:jc w:val="center"/>
        <w:tblLayout w:type="fixed"/>
        <w:tblLook w:firstColumn="1" w:firstRow="1" w:lastColumn="0" w:lastRow="0" w:noHBand="0" w:noVBand="1" w:val="04A0"/>
      </w:tblPr>
      <w:tblGrid>
        <w:gridCol w:w="3364"/>
        <w:gridCol w:w="3364"/>
        <w:gridCol w:w="3364"/>
      </w:tblGrid>
      <w:tr>
        <w:tc>
          <w:tcPr>
            <w:tcW w:w="3364" w:type="dxa"/>
            <w:shd w:val="clear" w:fill="F2F2F2"/>
          </w:tcPr>
          <w:p>
            <w:pPr>
              <w:jc w:val="center"/>
            </w:pPr>
            <w:r/>
            <w:r>
              <w:rPr>
                <w:b/>
                <w:i w:val="0"/>
                <w:color w:val="C00000"/>
                <w:sz w:val="18"/>
              </w:rPr>
              <w:t>[Ad SOYAD]</w:t>
            </w:r>
            <w:r>
              <w:rPr>
                <w:b/>
                <w:i w:val="0"/>
                <w:sz w:val="18"/>
              </w:rPr>
              <w:t xml:space="preserve"> — Zümre Başkanı</w:t>
            </w:r>
          </w:p>
        </w:tc>
        <w:tc>
          <w:tcPr>
            <w:tcW w:w="3364" w:type="dxa"/>
            <w:shd w:val="clear" w:fill="F2F2F2"/>
          </w:tcPr>
          <w:p>
            <w:pPr>
              <w:jc w:val="center"/>
            </w:pPr>
            <w:r/>
            <w:r>
              <w:rPr>
                <w:b/>
                <w:i w:val="0"/>
                <w:color w:val="C00000"/>
                <w:sz w:val="18"/>
              </w:rPr>
              <w:t>[Ad SOYAD]</w:t>
            </w:r>
            <w:r>
              <w:rPr>
                <w:b/>
                <w:i w:val="0"/>
                <w:sz w:val="18"/>
              </w:rPr>
              <w:t xml:space="preserve"> — Üye</w:t>
            </w:r>
          </w:p>
        </w:tc>
        <w:tc>
          <w:tcPr>
            <w:tcW w:w="3364" w:type="dxa"/>
            <w:shd w:val="clear" w:fill="F2F2F2"/>
          </w:tcPr>
          <w:p>
            <w:pPr>
              <w:jc w:val="center"/>
            </w:pPr>
            <w:r/>
            <w:r>
              <w:rPr>
                <w:b/>
                <w:i w:val="0"/>
                <w:color w:val="C00000"/>
                <w:sz w:val="18"/>
              </w:rPr>
              <w:t>[Ad SOYAD]</w:t>
            </w:r>
            <w:r>
              <w:rPr>
                <w:b/>
                <w:i w:val="0"/>
                <w:sz w:val="18"/>
              </w:rPr>
              <w:t xml:space="preserve"> — Üye</w:t>
            </w:r>
          </w:p>
        </w:tc>
      </w:tr>
      <w:tr>
        <w:tc>
          <w:tcPr>
            <w:tcW w:w="3364" w:type="dxa"/>
          </w:tcPr>
          <w:p>
            <w:pPr>
              <w:keepNext/>
              <w:keepLines/>
            </w:pPr>
            <w:r/>
          </w:p>
          <w:p>
            <w:pPr>
              <w:keepNext/>
              <w:keepLines/>
            </w:pPr>
          </w:p>
        </w:tc>
        <w:tc>
          <w:tcPr>
            <w:tcW w:w="3364" w:type="dxa"/>
          </w:tcPr>
          <w:p>
            <w:pPr>
              <w:keepNext/>
              <w:keepLines/>
            </w:pPr>
            <w:r/>
          </w:p>
          <w:p>
            <w:pPr>
              <w:keepNext/>
              <w:keepLines/>
            </w:pPr>
          </w:p>
        </w:tc>
        <w:tc>
          <w:tcPr>
            <w:tcW w:w="3364" w:type="dxa"/>
          </w:tcPr>
          <w:p>
            <w:pPr>
              <w:keepNext/>
              <w:keepLines/>
            </w:pPr>
            <w:r/>
          </w:p>
          <w:p>
            <w:pPr>
              <w:keepNext/>
              <w:keepLines/>
            </w:pPr>
          </w:p>
        </w:tc>
      </w:tr>
    </w:tbl>
    <w:p>
      <w:pPr>
        <w:spacing w:after="120" w:before="0"/>
        <w:keepNext/>
        <w:keepLines/>
      </w:pPr>
    </w:p>
    <w:p>
      <w:pPr>
        <w:spacing w:after="20" w:before="0"/>
        <w:jc w:val="center"/>
        <w:keepNext/>
        <w:keepLines/>
      </w:pPr>
      <w:r>
        <w:rPr>
          <w:b/>
          <w:i w:val="0"/>
          <w:sz w:val="20"/>
        </w:rPr>
        <w:t>UYGUNDUR</w:t>
      </w:r>
    </w:p>
    <w:p>
      <w:pPr>
        <w:spacing w:after="20" w:before="0"/>
        <w:jc w:val="center"/>
        <w:keepNext/>
        <w:keepLines/>
      </w:pPr>
      <w:r>
        <w:rPr>
          <w:b w:val="0"/>
          <w:i w:val="0"/>
          <w:color w:val="C00000"/>
          <w:sz w:val="20"/>
        </w:rPr>
        <w:t>[……………………]</w:t>
      </w:r>
      <w:r>
        <w:rPr>
          <w:b w:val="0"/>
          <w:i w:val="0"/>
          <w:sz w:val="20"/>
        </w:rPr>
        <w:t>/09/2026</w:t>
      </w:r>
    </w:p>
    <w:p>
      <w:pPr>
        <w:spacing w:after="0" w:before="0"/>
        <w:jc w:val="center"/>
        <w:keepNext/>
        <w:keepLines/>
      </w:pPr>
      <w:r>
        <w:rPr>
          <w:b/>
          <w:i w:val="0"/>
          <w:color w:val="C00000"/>
          <w:sz w:val="20"/>
        </w:rPr>
        <w:t>[Adı SOYADI]</w:t>
      </w:r>
    </w:p>
    <w:p>
      <w:pPr>
        <w:spacing w:after="80" w:before="0"/>
        <w:jc w:val="center"/>
      </w:pPr>
      <w:r>
        <w:rPr>
          <w:b w:val="0"/>
          <w:i w:val="0"/>
          <w:sz w:val="20"/>
        </w:rPr>
        <w:t>Okul Müdürü</w:t>
      </w:r>
    </w:p>
    <w:p>
      <w:pPr>
        <w:spacing w:after="0"/>
      </w:pPr>
      <w:r>
        <w:br w:type="page"/>
      </w:r>
    </w:p>
    <w:p>
      <w:pPr>
        <w:spacing w:after="80" w:before="0"/>
        <w:keepNext/>
        <w:keepLines/>
      </w:pPr>
      <w:r>
        <w:rPr>
          <w:b/>
          <w:i w:val="0"/>
          <w:color w:val="1F3B63"/>
          <w:sz w:val="22"/>
        </w:rPr>
        <w:t>EK-3 — PERFORMANS PUANI DEĞERLENDİRME ÖLÇEĞİ (ÖRNEK ŞABLON)</w:t>
      </w:r>
    </w:p>
    <w:p>
      <w:pPr>
        <w:spacing w:after="80" w:before="0"/>
      </w:pPr>
      <w:r>
        <w:rPr>
          <w:b/>
          <w:i w:val="0"/>
          <w:color w:val="C00000"/>
          <w:sz w:val="20"/>
        </w:rPr>
        <w:t>[BRANŞ]</w:t>
      </w:r>
      <w:r>
        <w:rPr>
          <w:b/>
          <w:i w:val="0"/>
          <w:sz w:val="20"/>
        </w:rPr>
        <w:t xml:space="preserve"> Dersi · </w:t>
      </w:r>
      <w:r>
        <w:rPr>
          <w:b/>
          <w:i w:val="0"/>
          <w:color w:val="C00000"/>
          <w:sz w:val="20"/>
        </w:rPr>
        <w:t>[Sınıf Düzeyi]</w:t>
      </w:r>
      <w:r>
        <w:rPr>
          <w:b/>
          <w:i w:val="0"/>
          <w:sz w:val="20"/>
        </w:rPr>
        <w:t xml:space="preserve"> · </w:t>
      </w:r>
      <w:r>
        <w:rPr>
          <w:b/>
          <w:i w:val="0"/>
          <w:color w:val="C00000"/>
          <w:sz w:val="20"/>
        </w:rPr>
        <w:t>[1./2.]</w:t>
      </w:r>
      <w:r>
        <w:rPr>
          <w:b/>
          <w:i w:val="0"/>
          <w:sz w:val="20"/>
        </w:rPr>
        <w:t xml:space="preserve"> Dönem</w:t>
      </w:r>
    </w:p>
    <w:p>
      <w:pPr>
        <w:spacing w:after="120" w:before="0"/>
        <w:jc w:val="both"/>
      </w:pPr>
      <w:r>
        <w:rPr>
          <w:b w:val="0"/>
          <w:i w:val="0"/>
          <w:sz w:val="18"/>
        </w:rPr>
        <w:t>Bu sayfa örnektir: kalemler, ağırlıklar ve ölçütler zümrece branşın öğretim programına, sınıf düzeyine ve okul şartlarına göre güncellenir. Ortaöğretim Kurumları Yönetmeliğinin 50 nci maddesinin sekizinci fıkrasındaki iş bölümü esas alınmıştır: birinci puan dönem içinde yapılan performans çalışmasına, ikinci puan performans görevleri ile okuryazarlık, kitap okuma, derse hazırlık, devam, aktif katılım ve örnek davranışlara verilir. Her kalem gözlemlenebilir kanıta dayanır; tek gözleme dayalı puan verilmez.</w:t>
      </w:r>
    </w:p>
    <w:tbl>
      <w:tblPr>
        <w:tblStyle w:val="TableGrid"/>
        <w:tblW w:w="10092" w:type="dxa"/>
        <w:jc w:val="center"/>
        <w:tblLayout w:type="fixed"/>
        <w:tblLook w:firstColumn="1" w:firstRow="1" w:lastColumn="0" w:lastRow="0" w:noHBand="0" w:noVBand="1" w:val="04A0"/>
      </w:tblPr>
      <w:tblGrid>
        <w:gridCol w:w="5443"/>
        <w:gridCol w:w="1134"/>
        <w:gridCol w:w="3515"/>
      </w:tblGrid>
      <w:tr>
        <w:tc>
          <w:tcPr>
            <w:tcW w:w="5443" w:type="dxa"/>
            <w:shd w:val="clear" w:fill="F2F2F2"/>
          </w:tcPr>
          <w:p>
            <w:r/>
            <w:r>
              <w:rPr>
                <w:b/>
                <w:i w:val="0"/>
                <w:sz w:val="18"/>
              </w:rPr>
              <w:t>Performans çalışması puanı (P1)</w:t>
            </w:r>
          </w:p>
        </w:tc>
        <w:tc>
          <w:tcPr>
            <w:tcW w:w="1134" w:type="dxa"/>
            <w:shd w:val="clear" w:fill="F2F2F2"/>
          </w:tcPr>
          <w:p>
            <w:r/>
            <w:r>
              <w:rPr>
                <w:b/>
                <w:i w:val="0"/>
                <w:sz w:val="18"/>
              </w:rPr>
              <w:t>Ağırlık (%)</w:t>
            </w:r>
          </w:p>
        </w:tc>
        <w:tc>
          <w:tcPr>
            <w:tcW w:w="3515" w:type="dxa"/>
            <w:shd w:val="clear" w:fill="F2F2F2"/>
          </w:tcPr>
          <w:p>
            <w:r/>
            <w:r>
              <w:rPr>
                <w:b/>
                <w:i w:val="0"/>
                <w:sz w:val="18"/>
              </w:rPr>
              <w:t>Ölçme aracı / kanıt</w:t>
            </w:r>
          </w:p>
        </w:tc>
      </w:tr>
      <w:tr>
        <w:tc>
          <w:tcPr>
            <w:tcW w:w="5443" w:type="dxa"/>
          </w:tcPr>
          <w:p>
            <w:r/>
            <w:r>
              <w:rPr>
                <w:b w:val="0"/>
                <w:i w:val="0"/>
                <w:sz w:val="18"/>
              </w:rPr>
              <w:t xml:space="preserve">Dönem performans çalışması: </w:t>
            </w:r>
            <w:r>
              <w:rPr>
                <w:b w:val="0"/>
                <w:i w:val="0"/>
                <w:color w:val="C00000"/>
                <w:sz w:val="18"/>
              </w:rPr>
              <w:t>[tema/ünite]</w:t>
            </w:r>
            <w:r>
              <w:rPr>
                <w:b w:val="0"/>
                <w:i w:val="0"/>
                <w:sz w:val="18"/>
              </w:rPr>
              <w:t xml:space="preserve"> öğrenme çıktısına dayalı ürün veya süreç görevi</w:t>
            </w:r>
          </w:p>
        </w:tc>
        <w:tc>
          <w:tcPr>
            <w:tcW w:w="1134" w:type="dxa"/>
          </w:tcPr>
          <w:p>
            <w:r/>
          </w:p>
        </w:tc>
        <w:tc>
          <w:tcPr>
            <w:tcW w:w="3515" w:type="dxa"/>
          </w:tcPr>
          <w:p>
            <w:r/>
          </w:p>
        </w:tc>
      </w:tr>
      <w:tr>
        <w:tc>
          <w:tcPr>
            <w:tcW w:w="5443" w:type="dxa"/>
          </w:tcPr>
          <w:p>
            <w:r/>
            <w:r>
              <w:rPr>
                <w:b w:val="0"/>
                <w:i w:val="0"/>
                <w:sz w:val="18"/>
              </w:rPr>
              <w:t>Süreç: planlama, bilgi ve materyal toplama, taslak oluşturma, geri bildirime göre geliştirme</w:t>
            </w:r>
          </w:p>
        </w:tc>
        <w:tc>
          <w:tcPr>
            <w:tcW w:w="1134" w:type="dxa"/>
          </w:tcPr>
          <w:p>
            <w:r/>
            <w:r>
              <w:rPr>
                <w:b w:val="0"/>
                <w:i w:val="0"/>
                <w:sz w:val="18"/>
              </w:rPr>
              <w:t>40</w:t>
            </w:r>
          </w:p>
        </w:tc>
        <w:tc>
          <w:tcPr>
            <w:tcW w:w="3515" w:type="dxa"/>
          </w:tcPr>
          <w:p>
            <w:r/>
            <w:r>
              <w:rPr>
                <w:b w:val="0"/>
                <w:i w:val="0"/>
                <w:sz w:val="18"/>
              </w:rPr>
              <w:t>Süreç kontrol listesi ve öğretmen gözlem kaydı</w:t>
            </w:r>
          </w:p>
        </w:tc>
      </w:tr>
      <w:tr>
        <w:tc>
          <w:tcPr>
            <w:tcW w:w="5443" w:type="dxa"/>
          </w:tcPr>
          <w:p>
            <w:r/>
            <w:r>
              <w:rPr>
                <w:b w:val="0"/>
                <w:i w:val="0"/>
                <w:sz w:val="18"/>
              </w:rPr>
              <w:t xml:space="preserve">Ürün: </w:t>
            </w:r>
            <w:r>
              <w:rPr>
                <w:b w:val="0"/>
                <w:i w:val="0"/>
                <w:color w:val="C00000"/>
                <w:sz w:val="18"/>
              </w:rPr>
              <w:t>[ürün türü]</w:t>
            </w:r>
            <w:r>
              <w:rPr>
                <w:b w:val="0"/>
                <w:i w:val="0"/>
                <w:sz w:val="18"/>
              </w:rPr>
              <w:t xml:space="preserve"> — içerik doğruluğu, beceri kullanımı, özgünlük, düzen</w:t>
            </w:r>
          </w:p>
        </w:tc>
        <w:tc>
          <w:tcPr>
            <w:tcW w:w="1134" w:type="dxa"/>
          </w:tcPr>
          <w:p>
            <w:r/>
            <w:r>
              <w:rPr>
                <w:b w:val="0"/>
                <w:i w:val="0"/>
                <w:sz w:val="18"/>
              </w:rPr>
              <w:t>50</w:t>
            </w:r>
          </w:p>
        </w:tc>
        <w:tc>
          <w:tcPr>
            <w:tcW w:w="3515" w:type="dxa"/>
          </w:tcPr>
          <w:p>
            <w:r/>
            <w:r>
              <w:rPr>
                <w:b w:val="0"/>
                <w:i w:val="0"/>
                <w:sz w:val="18"/>
              </w:rPr>
              <w:t>Dereceli puanlama anahtarı</w:t>
            </w:r>
          </w:p>
        </w:tc>
      </w:tr>
      <w:tr>
        <w:tc>
          <w:tcPr>
            <w:tcW w:w="5443" w:type="dxa"/>
          </w:tcPr>
          <w:p>
            <w:r/>
            <w:r>
              <w:rPr>
                <w:b w:val="0"/>
                <w:i w:val="0"/>
                <w:sz w:val="18"/>
              </w:rPr>
              <w:t>Paylaşım ve yansıtma: sunum veya sergileme ile öz değerlendirme</w:t>
            </w:r>
          </w:p>
        </w:tc>
        <w:tc>
          <w:tcPr>
            <w:tcW w:w="1134" w:type="dxa"/>
          </w:tcPr>
          <w:p>
            <w:r/>
            <w:r>
              <w:rPr>
                <w:b w:val="0"/>
                <w:i w:val="0"/>
                <w:sz w:val="18"/>
              </w:rPr>
              <w:t>10</w:t>
            </w:r>
          </w:p>
        </w:tc>
        <w:tc>
          <w:tcPr>
            <w:tcW w:w="3515" w:type="dxa"/>
          </w:tcPr>
          <w:p>
            <w:r/>
            <w:r>
              <w:rPr>
                <w:b w:val="0"/>
                <w:i w:val="0"/>
                <w:sz w:val="18"/>
              </w:rPr>
              <w:t>Dereceleme ölçeği ve öz değerlendirme formu</w:t>
            </w:r>
          </w:p>
        </w:tc>
      </w:tr>
      <w:tr>
        <w:tc>
          <w:tcPr>
            <w:tcW w:w="5443" w:type="dxa"/>
          </w:tcPr>
          <w:p>
            <w:r/>
            <w:r>
              <w:rPr>
                <w:b w:val="0"/>
                <w:i w:val="0"/>
                <w:sz w:val="18"/>
              </w:rPr>
              <w:t>TOPLAM</w:t>
            </w:r>
          </w:p>
        </w:tc>
        <w:tc>
          <w:tcPr>
            <w:tcW w:w="1134" w:type="dxa"/>
          </w:tcPr>
          <w:p>
            <w:r/>
            <w:r>
              <w:rPr>
                <w:b w:val="0"/>
                <w:i w:val="0"/>
                <w:sz w:val="18"/>
              </w:rPr>
              <w:t>100</w:t>
            </w:r>
          </w:p>
        </w:tc>
        <w:tc>
          <w:tcPr>
            <w:tcW w:w="3515" w:type="dxa"/>
          </w:tcPr>
          <w:p>
            <w:r/>
          </w:p>
        </w:tc>
      </w:tr>
    </w:tbl>
    <w:p>
      <w:pPr>
        <w:spacing w:after="60" w:before="0"/>
      </w:pPr>
    </w:p>
    <w:tbl>
      <w:tblPr>
        <w:tblStyle w:val="TableGrid"/>
        <w:tblW w:w="10092" w:type="dxa"/>
        <w:jc w:val="center"/>
        <w:tblLayout w:type="fixed"/>
        <w:tblLook w:firstColumn="1" w:firstRow="1" w:lastColumn="0" w:lastRow="0" w:noHBand="0" w:noVBand="1" w:val="04A0"/>
      </w:tblPr>
      <w:tblGrid>
        <w:gridCol w:w="5443"/>
        <w:gridCol w:w="1134"/>
        <w:gridCol w:w="3515"/>
      </w:tblGrid>
      <w:tr>
        <w:tc>
          <w:tcPr>
            <w:tcW w:w="5443" w:type="dxa"/>
            <w:shd w:val="clear" w:fill="F2F2F2"/>
          </w:tcPr>
          <w:p>
            <w:r/>
            <w:r>
              <w:rPr>
                <w:b/>
                <w:i w:val="0"/>
                <w:sz w:val="18"/>
              </w:rPr>
              <w:t>Ders etkinliklerine katılım puanı (P2)</w:t>
            </w:r>
          </w:p>
        </w:tc>
        <w:tc>
          <w:tcPr>
            <w:tcW w:w="1134" w:type="dxa"/>
            <w:shd w:val="clear" w:fill="F2F2F2"/>
          </w:tcPr>
          <w:p>
            <w:r/>
            <w:r>
              <w:rPr>
                <w:b/>
                <w:i w:val="0"/>
                <w:sz w:val="18"/>
              </w:rPr>
              <w:t>Ağırlık (%)</w:t>
            </w:r>
          </w:p>
        </w:tc>
        <w:tc>
          <w:tcPr>
            <w:tcW w:w="3515" w:type="dxa"/>
            <w:shd w:val="clear" w:fill="F2F2F2"/>
          </w:tcPr>
          <w:p>
            <w:r/>
            <w:r>
              <w:rPr>
                <w:b/>
                <w:i w:val="0"/>
                <w:sz w:val="18"/>
              </w:rPr>
              <w:t>Ölçme aracı / kanıt</w:t>
            </w:r>
          </w:p>
        </w:tc>
      </w:tr>
      <w:tr>
        <w:tc>
          <w:tcPr>
            <w:tcW w:w="5443" w:type="dxa"/>
          </w:tcPr>
          <w:p>
            <w:r/>
            <w:r>
              <w:rPr>
                <w:b w:val="0"/>
                <w:i w:val="0"/>
                <w:sz w:val="18"/>
              </w:rPr>
              <w:t>Beceri temelli performans görevleri: temaların öğrenme kanıtları bölümünden seçilen iki-üç kısa görev</w:t>
            </w:r>
          </w:p>
        </w:tc>
        <w:tc>
          <w:tcPr>
            <w:tcW w:w="1134" w:type="dxa"/>
          </w:tcPr>
          <w:p>
            <w:r/>
            <w:r>
              <w:rPr>
                <w:b w:val="0"/>
                <w:i w:val="0"/>
                <w:sz w:val="18"/>
              </w:rPr>
              <w:t>35</w:t>
            </w:r>
          </w:p>
        </w:tc>
        <w:tc>
          <w:tcPr>
            <w:tcW w:w="3515" w:type="dxa"/>
          </w:tcPr>
          <w:p>
            <w:r/>
            <w:r>
              <w:rPr>
                <w:b w:val="0"/>
                <w:i w:val="0"/>
                <w:sz w:val="18"/>
              </w:rPr>
              <w:t>Görev başına dereceleme ölçeği veya kontrol listesi</w:t>
            </w:r>
          </w:p>
        </w:tc>
      </w:tr>
      <w:tr>
        <w:tc>
          <w:tcPr>
            <w:tcW w:w="5443" w:type="dxa"/>
          </w:tcPr>
          <w:p>
            <w:r/>
            <w:r>
              <w:rPr>
                <w:b w:val="0"/>
                <w:i w:val="0"/>
                <w:sz w:val="18"/>
              </w:rPr>
              <w:t>Okuryazarlık ve kitap okuma çalışmaları; MEBİ, EBA ve OGM Materyal etkinlikleri</w:t>
            </w:r>
          </w:p>
        </w:tc>
        <w:tc>
          <w:tcPr>
            <w:tcW w:w="1134" w:type="dxa"/>
          </w:tcPr>
          <w:p>
            <w:r/>
            <w:r>
              <w:rPr>
                <w:b w:val="0"/>
                <w:i w:val="0"/>
                <w:sz w:val="18"/>
              </w:rPr>
              <w:t>20</w:t>
            </w:r>
          </w:p>
        </w:tc>
        <w:tc>
          <w:tcPr>
            <w:tcW w:w="3515" w:type="dxa"/>
          </w:tcPr>
          <w:p>
            <w:r/>
            <w:r>
              <w:rPr>
                <w:b w:val="0"/>
                <w:i w:val="0"/>
                <w:sz w:val="18"/>
              </w:rPr>
              <w:t xml:space="preserve">Form veya kontrol listesi </w:t>
            </w:r>
            <w:r>
              <w:rPr>
                <w:b w:val="0"/>
                <w:i w:val="0"/>
                <w:color w:val="C00000"/>
                <w:sz w:val="18"/>
              </w:rPr>
              <w:t>[dil derslerinde eleştirel okuma, dinleme/izleme formu]</w:t>
            </w:r>
          </w:p>
        </w:tc>
      </w:tr>
      <w:tr>
        <w:tc>
          <w:tcPr>
            <w:tcW w:w="5443" w:type="dxa"/>
          </w:tcPr>
          <w:p>
            <w:r/>
            <w:r>
              <w:rPr>
                <w:b w:val="0"/>
                <w:i w:val="0"/>
                <w:sz w:val="18"/>
              </w:rPr>
              <w:t>Derse hazırlık: ön değerlendirme ve köprü kurma etkinliklerine hazırlıklı gelme</w:t>
            </w:r>
          </w:p>
        </w:tc>
        <w:tc>
          <w:tcPr>
            <w:tcW w:w="1134" w:type="dxa"/>
          </w:tcPr>
          <w:p>
            <w:r/>
            <w:r>
              <w:rPr>
                <w:b w:val="0"/>
                <w:i w:val="0"/>
                <w:sz w:val="18"/>
              </w:rPr>
              <w:t>15</w:t>
            </w:r>
          </w:p>
        </w:tc>
        <w:tc>
          <w:tcPr>
            <w:tcW w:w="3515" w:type="dxa"/>
          </w:tcPr>
          <w:p>
            <w:r/>
            <w:r>
              <w:rPr>
                <w:b w:val="0"/>
                <w:i w:val="0"/>
                <w:sz w:val="18"/>
              </w:rPr>
              <w:t>Haftalık kontrol listesi</w:t>
            </w:r>
          </w:p>
        </w:tc>
      </w:tr>
      <w:tr>
        <w:tc>
          <w:tcPr>
            <w:tcW w:w="5443" w:type="dxa"/>
          </w:tcPr>
          <w:p>
            <w:r/>
            <w:r>
              <w:rPr>
                <w:b w:val="0"/>
                <w:i w:val="0"/>
                <w:sz w:val="18"/>
              </w:rPr>
              <w:t>Devam ve aktif katılım: soru sorma, gerekçeli görüş bildirme, grup çalışmasında rol alma</w:t>
            </w:r>
          </w:p>
        </w:tc>
        <w:tc>
          <w:tcPr>
            <w:tcW w:w="1134" w:type="dxa"/>
          </w:tcPr>
          <w:p>
            <w:r/>
            <w:r>
              <w:rPr>
                <w:b w:val="0"/>
                <w:i w:val="0"/>
                <w:sz w:val="18"/>
              </w:rPr>
              <w:t>20</w:t>
            </w:r>
          </w:p>
        </w:tc>
        <w:tc>
          <w:tcPr>
            <w:tcW w:w="3515" w:type="dxa"/>
          </w:tcPr>
          <w:p>
            <w:r/>
            <w:r>
              <w:rPr>
                <w:b w:val="0"/>
                <w:i w:val="0"/>
                <w:sz w:val="18"/>
              </w:rPr>
              <w:t>Dörtlü dereceleme ölçeği; dönemde en az iki gözlem kaydı</w:t>
            </w:r>
          </w:p>
        </w:tc>
      </w:tr>
      <w:tr>
        <w:tc>
          <w:tcPr>
            <w:tcW w:w="5443" w:type="dxa"/>
          </w:tcPr>
          <w:p>
            <w:r/>
            <w:r>
              <w:rPr>
                <w:b w:val="0"/>
                <w:i w:val="0"/>
                <w:sz w:val="18"/>
              </w:rPr>
              <w:t>Örnek davranışlar: iş birliği, sorumluluk, sınıf kültürüne katkı</w:t>
            </w:r>
          </w:p>
        </w:tc>
        <w:tc>
          <w:tcPr>
            <w:tcW w:w="1134" w:type="dxa"/>
          </w:tcPr>
          <w:p>
            <w:r/>
            <w:r>
              <w:rPr>
                <w:b w:val="0"/>
                <w:i w:val="0"/>
                <w:sz w:val="18"/>
              </w:rPr>
              <w:t>10</w:t>
            </w:r>
          </w:p>
        </w:tc>
        <w:tc>
          <w:tcPr>
            <w:tcW w:w="3515" w:type="dxa"/>
          </w:tcPr>
          <w:p>
            <w:r/>
            <w:r>
              <w:rPr>
                <w:b w:val="0"/>
                <w:i w:val="0"/>
                <w:sz w:val="18"/>
              </w:rPr>
              <w:t>Gözlem kaydı (dereceleme)</w:t>
            </w:r>
          </w:p>
        </w:tc>
      </w:tr>
      <w:tr>
        <w:tc>
          <w:tcPr>
            <w:tcW w:w="5443" w:type="dxa"/>
          </w:tcPr>
          <w:p>
            <w:r/>
            <w:r>
              <w:rPr>
                <w:b w:val="0"/>
                <w:i w:val="0"/>
                <w:sz w:val="18"/>
              </w:rPr>
              <w:t>TOPLAM</w:t>
            </w:r>
          </w:p>
        </w:tc>
        <w:tc>
          <w:tcPr>
            <w:tcW w:w="1134" w:type="dxa"/>
          </w:tcPr>
          <w:p>
            <w:r/>
            <w:r>
              <w:rPr>
                <w:b w:val="0"/>
                <w:i w:val="0"/>
                <w:sz w:val="18"/>
              </w:rPr>
              <w:t>100</w:t>
            </w:r>
          </w:p>
        </w:tc>
        <w:tc>
          <w:tcPr>
            <w:tcW w:w="3515" w:type="dxa"/>
          </w:tcPr>
          <w:p>
            <w:r/>
          </w:p>
        </w:tc>
      </w:tr>
    </w:tbl>
    <w:p>
      <w:pPr>
        <w:spacing w:after="60" w:before="0"/>
      </w:pPr>
    </w:p>
    <w:p>
      <w:pPr>
        <w:spacing w:after="120" w:before="0"/>
        <w:jc w:val="both"/>
      </w:pPr>
      <w:r>
        <w:rPr>
          <w:b w:val="0"/>
          <w:i w:val="0"/>
          <w:sz w:val="18"/>
        </w:rPr>
        <w:t>Puanlama ilkesi: 4 = ileri (ölçütü aşar, özgün katkı) · 3 = yeterli (ölçütü karşılar) · 2 = gelişmekte (kısmen karşılar) · 1 = başlangıç (yönlendirmeyle yapar). Kalem puanı, alınan düzeyin dörde bölünüp kalem ağırlığıyla çarpılmasıyla bulunur. Üçlü işaretleme yalnızca yapıldı-yapılmadı nitelikli kontrol listesi kalemlerinde kullanılır; beceri gerektiren kalemlerde davranış tanımlı dereceleme tercih edilir.</w:t>
      </w:r>
    </w:p>
    <w:p>
      <w:pPr>
        <w:spacing w:after="60" w:before="0"/>
      </w:pPr>
      <w:r>
        <w:rPr>
          <w:b/>
          <w:i w:val="0"/>
          <w:sz w:val="18"/>
        </w:rPr>
        <w:t>Örnek dereceli puanlama anahtarı iskeleti (P1 ürün bileşeni için)</w:t>
      </w:r>
    </w:p>
    <w:tbl>
      <w:tblPr>
        <w:tblStyle w:val="TableGrid"/>
        <w:tblW w:w="10091" w:type="dxa"/>
        <w:jc w:val="center"/>
        <w:tblLayout w:type="fixed"/>
        <w:tblLook w:firstColumn="1" w:firstRow="1" w:lastColumn="0" w:lastRow="0" w:noHBand="0" w:noVBand="1" w:val="04A0"/>
      </w:tblPr>
      <w:tblGrid>
        <w:gridCol w:w="2608"/>
        <w:gridCol w:w="907"/>
        <w:gridCol w:w="3288"/>
        <w:gridCol w:w="3288"/>
      </w:tblGrid>
      <w:tr>
        <w:tc>
          <w:tcPr>
            <w:tcW w:w="2608" w:type="dxa"/>
            <w:shd w:val="clear" w:fill="F2F2F2"/>
          </w:tcPr>
          <w:p>
            <w:r/>
            <w:r>
              <w:rPr>
                <w:b/>
                <w:i w:val="0"/>
                <w:sz w:val="18"/>
              </w:rPr>
              <w:t>Ölçüt</w:t>
            </w:r>
          </w:p>
        </w:tc>
        <w:tc>
          <w:tcPr>
            <w:tcW w:w="907" w:type="dxa"/>
            <w:shd w:val="clear" w:fill="F2F2F2"/>
          </w:tcPr>
          <w:p>
            <w:r/>
            <w:r>
              <w:rPr>
                <w:b/>
                <w:i w:val="0"/>
                <w:sz w:val="18"/>
              </w:rPr>
              <w:t>Ağırlık</w:t>
            </w:r>
          </w:p>
        </w:tc>
        <w:tc>
          <w:tcPr>
            <w:tcW w:w="3288" w:type="dxa"/>
            <w:shd w:val="clear" w:fill="F2F2F2"/>
          </w:tcPr>
          <w:p>
            <w:r/>
            <w:r>
              <w:rPr>
                <w:b/>
                <w:i w:val="0"/>
                <w:sz w:val="18"/>
              </w:rPr>
              <w:t>İleri (4) tanımı</w:t>
            </w:r>
          </w:p>
        </w:tc>
        <w:tc>
          <w:tcPr>
            <w:tcW w:w="3288" w:type="dxa"/>
            <w:shd w:val="clear" w:fill="F2F2F2"/>
          </w:tcPr>
          <w:p>
            <w:r/>
            <w:r>
              <w:rPr>
                <w:b/>
                <w:i w:val="0"/>
                <w:sz w:val="18"/>
              </w:rPr>
              <w:t>Başlangıç (1) tanımı</w:t>
            </w:r>
          </w:p>
        </w:tc>
      </w:tr>
      <w:tr>
        <w:tc>
          <w:tcPr>
            <w:tcW w:w="2608" w:type="dxa"/>
          </w:tcPr>
          <w:p>
            <w:r/>
            <w:r>
              <w:rPr>
                <w:b w:val="0"/>
                <w:i w:val="0"/>
                <w:sz w:val="18"/>
              </w:rPr>
              <w:t>İçerik doğruluğu ve kavram kullanımı</w:t>
            </w:r>
          </w:p>
        </w:tc>
        <w:tc>
          <w:tcPr>
            <w:tcW w:w="907" w:type="dxa"/>
          </w:tcPr>
          <w:p>
            <w:r/>
            <w:r>
              <w:rPr>
                <w:b w:val="0"/>
                <w:i w:val="0"/>
                <w:sz w:val="18"/>
              </w:rPr>
              <w:t>%30</w:t>
            </w:r>
          </w:p>
        </w:tc>
        <w:tc>
          <w:tcPr>
            <w:tcW w:w="3288" w:type="dxa"/>
          </w:tcPr>
          <w:p>
            <w:r/>
            <w:r>
              <w:rPr>
                <w:b w:val="0"/>
                <w:i w:val="0"/>
                <w:sz w:val="18"/>
              </w:rPr>
              <w:t>Kavramları doğru, yerinde ve ilişkilendirerek kullanır</w:t>
            </w:r>
          </w:p>
        </w:tc>
        <w:tc>
          <w:tcPr>
            <w:tcW w:w="3288" w:type="dxa"/>
          </w:tcPr>
          <w:p>
            <w:r/>
            <w:r>
              <w:rPr>
                <w:b w:val="0"/>
                <w:i w:val="0"/>
                <w:sz w:val="18"/>
              </w:rPr>
              <w:t>Kavram yanlışları ürünün anlaşılmasını engeller</w:t>
            </w:r>
          </w:p>
        </w:tc>
      </w:tr>
      <w:tr>
        <w:tc>
          <w:tcPr>
            <w:tcW w:w="2608" w:type="dxa"/>
          </w:tcPr>
          <w:p>
            <w:r/>
            <w:r>
              <w:rPr>
                <w:b w:val="0"/>
                <w:i w:val="0"/>
                <w:sz w:val="18"/>
              </w:rPr>
              <w:t>Alan becerisinin kullanımı (</w:t>
            </w:r>
            <w:r>
              <w:rPr>
                <w:b w:val="0"/>
                <w:i w:val="0"/>
                <w:color w:val="C00000"/>
                <w:sz w:val="18"/>
              </w:rPr>
              <w:t>[programdaki beceri kodu]</w:t>
            </w:r>
            <w:r>
              <w:rPr>
                <w:b w:val="0"/>
                <w:i w:val="0"/>
                <w:sz w:val="18"/>
              </w:rPr>
              <w:t>)</w:t>
            </w:r>
          </w:p>
        </w:tc>
        <w:tc>
          <w:tcPr>
            <w:tcW w:w="907" w:type="dxa"/>
          </w:tcPr>
          <w:p>
            <w:r/>
            <w:r>
              <w:rPr>
                <w:b w:val="0"/>
                <w:i w:val="0"/>
                <w:sz w:val="18"/>
              </w:rPr>
              <w:t>%30</w:t>
            </w:r>
          </w:p>
        </w:tc>
        <w:tc>
          <w:tcPr>
            <w:tcW w:w="3288" w:type="dxa"/>
          </w:tcPr>
          <w:p>
            <w:r/>
            <w:r>
              <w:rPr>
                <w:b w:val="0"/>
                <w:i w:val="0"/>
                <w:sz w:val="18"/>
              </w:rPr>
              <w:t>Beceriyi yeni bir duruma bağımsız uygular</w:t>
            </w:r>
          </w:p>
        </w:tc>
        <w:tc>
          <w:tcPr>
            <w:tcW w:w="3288" w:type="dxa"/>
          </w:tcPr>
          <w:p>
            <w:r/>
            <w:r>
              <w:rPr>
                <w:b w:val="0"/>
                <w:i w:val="0"/>
                <w:sz w:val="18"/>
              </w:rPr>
              <w:t>Beceriyi yönlendirmeyle ve kısmen uygular</w:t>
            </w:r>
          </w:p>
        </w:tc>
      </w:tr>
      <w:tr>
        <w:tc>
          <w:tcPr>
            <w:tcW w:w="2608" w:type="dxa"/>
          </w:tcPr>
          <w:p>
            <w:r/>
            <w:r>
              <w:rPr>
                <w:b w:val="0"/>
                <w:i w:val="0"/>
                <w:sz w:val="18"/>
              </w:rPr>
              <w:t>Özgünlük ve akıl yürütme</w:t>
            </w:r>
          </w:p>
        </w:tc>
        <w:tc>
          <w:tcPr>
            <w:tcW w:w="907" w:type="dxa"/>
          </w:tcPr>
          <w:p>
            <w:r/>
            <w:r>
              <w:rPr>
                <w:b w:val="0"/>
                <w:i w:val="0"/>
                <w:sz w:val="18"/>
              </w:rPr>
              <w:t>%20</w:t>
            </w:r>
          </w:p>
        </w:tc>
        <w:tc>
          <w:tcPr>
            <w:tcW w:w="3288" w:type="dxa"/>
          </w:tcPr>
          <w:p>
            <w:r/>
            <w:r>
              <w:rPr>
                <w:b w:val="0"/>
                <w:i w:val="0"/>
                <w:sz w:val="18"/>
              </w:rPr>
              <w:t>Kendi örneğini ve yorumunu gerekçelendirir</w:t>
            </w:r>
          </w:p>
        </w:tc>
        <w:tc>
          <w:tcPr>
            <w:tcW w:w="3288" w:type="dxa"/>
          </w:tcPr>
          <w:p>
            <w:r/>
            <w:r>
              <w:rPr>
                <w:b w:val="0"/>
                <w:i w:val="0"/>
                <w:sz w:val="18"/>
              </w:rPr>
              <w:t>Hazır içeriği aktarır, gerekçe sunmaz</w:t>
            </w:r>
          </w:p>
        </w:tc>
      </w:tr>
      <w:tr>
        <w:tc>
          <w:tcPr>
            <w:tcW w:w="2608" w:type="dxa"/>
          </w:tcPr>
          <w:p>
            <w:r/>
            <w:r>
              <w:rPr>
                <w:b w:val="0"/>
                <w:i w:val="0"/>
                <w:sz w:val="18"/>
              </w:rPr>
              <w:t>Düzen, dil ve sunum</w:t>
            </w:r>
          </w:p>
        </w:tc>
        <w:tc>
          <w:tcPr>
            <w:tcW w:w="907" w:type="dxa"/>
          </w:tcPr>
          <w:p>
            <w:r/>
            <w:r>
              <w:rPr>
                <w:b w:val="0"/>
                <w:i w:val="0"/>
                <w:sz w:val="18"/>
              </w:rPr>
              <w:t>%20</w:t>
            </w:r>
          </w:p>
        </w:tc>
        <w:tc>
          <w:tcPr>
            <w:tcW w:w="3288" w:type="dxa"/>
          </w:tcPr>
          <w:p>
            <w:r/>
            <w:r>
              <w:rPr>
                <w:b w:val="0"/>
                <w:i w:val="0"/>
                <w:sz w:val="18"/>
              </w:rPr>
              <w:t>Düzenli, anlaşılır, hedef kitleye uygun</w:t>
            </w:r>
          </w:p>
        </w:tc>
        <w:tc>
          <w:tcPr>
            <w:tcW w:w="3288" w:type="dxa"/>
          </w:tcPr>
          <w:p>
            <w:r/>
            <w:r>
              <w:rPr>
                <w:b w:val="0"/>
                <w:i w:val="0"/>
                <w:sz w:val="18"/>
              </w:rPr>
              <w:t>Düzensiz; iletmek istediği mesaj belirsiz</w:t>
            </w:r>
          </w:p>
        </w:tc>
      </w:tr>
    </w:tbl>
    <w:p>
      <w:pPr>
        <w:spacing w:after="60" w:before="0"/>
      </w:pPr>
    </w:p>
    <w:p>
      <w:pPr>
        <w:spacing w:after="80" w:before="0"/>
        <w:jc w:val="both"/>
      </w:pPr>
      <w:r>
        <w:rPr>
          <w:b w:val="0"/>
          <w:i w:val="0"/>
          <w:sz w:val="18"/>
        </w:rPr>
        <w:t>Gelişmekte (2) ve yeterli (3) düzey tanımları zümrece, iki uç tanımın arasını dolduracak biçimde yazılır. Uygulamalı derslerde P1 çalışması performansa dayalı kurgulanır (hareket serisi, ürün dosyası, seslendirme görevi); dil derslerinde eser değerlendirmesi iki performans puanından biri olarak dikkate alınır.</w:t>
      </w:r>
    </w:p>
    <w:sectPr w:rsidR="00FC693F" w:rsidRPr="0006063C" w:rsidSect="00034616">
      <w:pgSz w:w="11906" w:h="16838"/>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GNL-ZMR-ZT-001_Ders_Yili_Basi_Cerceve_Zumre_Tutanagi_2026-2027_v1.0</dc:title>
  <dc:subject/>
  <dc:creator>okulapp.org</dc:creator>
  <cp:keywords/>
  <dc:description/>
  <cp:lastModifiedBy/>
  <cp:revision>1</cp:revision>
  <dcterms:created xsi:type="dcterms:W3CDTF">2013-12-23T23:15:00Z</dcterms:created>
  <dcterms:modified xsi:type="dcterms:W3CDTF">2013-12-23T23:15:00Z</dcterms:modified>
  <cp:category/>
</cp:coreProperties>
</file>