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 w:val="0"/>
          <w:i w:val="0"/>
          <w:color w:val="767676"/>
          <w:sz w:val="17"/>
        </w:rPr>
        <w:t>Şoför her seferde öğrencilerin binişini/inişini işler; taşıma öncesi ve sonrasında aracın içini kontrol eder (Yön. md. 9/1-g). Çizelge araçtaki öğrenci listesiyle (UE EK-1 md. 3/1-l) birlikte tutulur; sözleşmede adı yazılı olmayan öğrenci taşınmaz (md. 3/1-m), komisyon onayı dışında kişi bindirilmez (md. 4-ı). Hafta sonunda taşımacı yetkilisince imzalanır; okul yönetimi talep hâlinde inceler ve örneğini dosyaya alır (Yön. md. 6/1-c). Ortaöğretimde günlük takip defteri mevzuatta zorunlu değildir (Yön. md. 14 yalnız kreş/gündüz bakımevi/çocuk kulübü içindir); çizelge, okulun planlama-kayıt yükümlülüğü çerçevesinde şartnameye UE EK-1 md. 7-g ile eklenen bir uygulamadır.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ARAÇ VE HAFTA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3515"/>
        <w:gridCol w:w="2948"/>
        <w:gridCol w:w="2494"/>
      </w:tblGrid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Taşımacı</w:t>
            </w:r>
          </w:p>
        </w:tc>
        <w:tc>
          <w:tcPr>
            <w:tcW w:w="3515" w:type="dxa"/>
            <w:vAlign w:val="center"/>
          </w:tcPr>
          <w:p>
            <w:pPr>
              <w:spacing w:before="24" w:after="24"/>
            </w:pP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Hafta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…/…/20… — …/…/20…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Araç plakası</w:t>
            </w:r>
          </w:p>
        </w:tc>
        <w:tc>
          <w:tcPr>
            <w:tcW w:w="3515" w:type="dxa"/>
            <w:vAlign w:val="center"/>
          </w:tcPr>
          <w:p>
            <w:pPr>
              <w:spacing w:before="24" w:after="24"/>
            </w:pP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Güzergâh no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Şoför adı soyadı</w:t>
            </w:r>
          </w:p>
        </w:tc>
        <w:tc>
          <w:tcPr>
            <w:tcW w:w="3515" w:type="dxa"/>
            <w:vAlign w:val="center"/>
          </w:tcPr>
          <w:p>
            <w:pPr>
              <w:spacing w:before="24" w:after="24"/>
            </w:pP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Rehber personel (varsa)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170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Okula varış saati</w:t>
            </w:r>
          </w:p>
        </w:tc>
        <w:tc>
          <w:tcPr>
            <w:tcW w:w="351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…… : ……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Okuldan kalkış saati (GNL-SRV-FR-007)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…… : ……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YOKLAMA ÇİZELGESİ (G = geliş seferi, D = dönüş seferi)</w:t>
      </w:r>
    </w:p>
    <w:tbl>
      <w:tblPr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W w:w="10660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97"/>
        <w:gridCol w:w="2268"/>
        <w:gridCol w:w="737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533"/>
        <w:gridCol w:w="1928"/>
      </w:tblGrid>
      <w:tr>
        <w:trPr>
          <w:tblHeader/>
          <w:cantSplit/>
        </w:trPr>
        <w:tc>
          <w:tcPr>
            <w:tcW w:w="397" w:type="dxa"/>
            <w:vMerge w:val="restart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Sıra</w:t>
            </w:r>
          </w:p>
        </w:tc>
        <w:tc>
          <w:tcPr>
            <w:tcW w:w="2268" w:type="dxa"/>
            <w:vMerge w:val="restart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Öğrencinin adı soyadı</w:t>
            </w:r>
          </w:p>
        </w:tc>
        <w:tc>
          <w:tcPr>
            <w:tcW w:w="737" w:type="dxa"/>
            <w:vMerge w:val="restart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Sınıf / şube</w:t>
            </w:r>
          </w:p>
        </w:tc>
        <w:tc>
          <w:tcPr>
            <w:tcW w:w="1066" w:type="dxa"/>
            <w:gridSpan w:val="2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Pazartesi</w:t>
            </w:r>
          </w:p>
        </w:tc>
        <w:tc>
          <w:tcPr>
            <w:tcW w:w="1066" w:type="dxa"/>
            <w:gridSpan w:val="2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Salı</w:t>
            </w:r>
          </w:p>
        </w:tc>
        <w:tc>
          <w:tcPr>
            <w:tcW w:w="1066" w:type="dxa"/>
            <w:gridSpan w:val="2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Çarşamba</w:t>
            </w:r>
          </w:p>
        </w:tc>
        <w:tc>
          <w:tcPr>
            <w:tcW w:w="1066" w:type="dxa"/>
            <w:gridSpan w:val="2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Perşembe</w:t>
            </w:r>
          </w:p>
        </w:tc>
        <w:tc>
          <w:tcPr>
            <w:tcW w:w="1066" w:type="dxa"/>
            <w:gridSpan w:val="2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Cuma</w:t>
            </w:r>
          </w:p>
        </w:tc>
        <w:tc>
          <w:tcPr>
            <w:tcW w:w="1928" w:type="dxa"/>
            <w:vMerge w:val="restart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Açıklama</w:t>
            </w:r>
          </w:p>
        </w:tc>
      </w:tr>
      <w:tr>
        <w:trPr>
          <w:tblHeader/>
          <w:cantSplit/>
        </w:trPr>
        <w:tc>
          <w:tcPr>
            <w:tcW w:w="397" w:type="dxa"/>
            <w:vMerge/>
          </w:tcPr>
          <w:p/>
        </w:tc>
        <w:tc>
          <w:tcPr>
            <w:tcW w:w="2268" w:type="dxa"/>
            <w:vMerge/>
          </w:tcPr>
          <w:p/>
        </w:tc>
        <w:tc>
          <w:tcPr>
            <w:tcW w:w="737" w:type="dxa"/>
            <w:vMerge/>
          </w:tcPr>
          <w:p/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G</w:t>
            </w:r>
          </w:p>
        </w:tc>
        <w:tc>
          <w:tcPr>
            <w:tcW w:w="533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</w:t>
            </w:r>
          </w:p>
        </w:tc>
        <w:tc>
          <w:tcPr>
            <w:tcW w:w="1928" w:type="dxa"/>
            <w:vMerge/>
          </w:tcPr>
          <w:p/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4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5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7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8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11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12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13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14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16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17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18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19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266" w:hRule="atLeast"/>
        </w:trPr>
        <w:tc>
          <w:tcPr>
            <w:tcW w:w="3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20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 w:hRule="atLeast"/>
        </w:trPr>
        <w:tc>
          <w:tcPr>
            <w:tcW w:w="3402" w:type="dxa"/>
            <w:gridSpan w:val="3"/>
            <w:shd w:val="clear" w:fill="F0F0F0"/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Sefer sonrası araç içi kontrol yapıldı (Yön. md. 9/1-g) — ✓</w:t>
            </w: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 w:hRule="atLeast"/>
        </w:trPr>
        <w:tc>
          <w:tcPr>
            <w:tcW w:w="3402" w:type="dxa"/>
            <w:gridSpan w:val="3"/>
            <w:shd w:val="clear" w:fill="F0F0F0"/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4F4F4F"/>
                <w:sz w:val="15"/>
              </w:rPr>
              <w:t>Binen öğrenci sayısı (ayakta/sınır üstü taşıma yasak — UE EK-1 md. 4-ğ)</w:t>
            </w: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533" w:type="dxa"/>
            <w:vAlign w:val="center"/>
          </w:tcPr>
          <w:p>
            <w:pPr>
              <w:spacing w:before="0" w:after="0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İşaretler: </w:t>
      </w:r>
      <w:r>
        <w:rPr>
          <w:rFonts w:ascii="Calibri" w:hAnsi="Calibri"/>
          <w:b w:val="0"/>
          <w:i w:val="0"/>
          <w:color w:val="767676"/>
          <w:sz w:val="15"/>
        </w:rPr>
        <w:t>✓ bindi/indi · ✗ hazır bulunmadı, binmedi (geç kalan beklenmez, ulaşımı veli sağlar — OK) · V veli önceden bildirdi · İ yazılı veli izni ve okul onayıyla farklı servis/nokta (OK) · — sefer yok (tatil/izin). Servis gecikirse öğrenci alma noktasında en fazla 10 dk bekler (UE EK-1 md. 3/1-o); gecikme derhâl idare/komisyon/veliye bildirilir (md. 3/1-ö).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HAFTA NOTLARI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195"/>
        <w:gridCol w:w="6463"/>
      </w:tblGrid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Aksaklık kaydı (gecikme, arıza, değişiklik — GNL-SRV-FR-005)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Kural ihlali bildirimi (GNL-SRV-FR-010)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Yok     ☐ Var — tarih / öğrenci: ……………………………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60" w:type="dxa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  <w:gridCol w:w="2665"/>
      </w:tblGrid>
      <w:tr>
        <w:trPr>
          <w:cantSplit/>
        </w:trPr>
        <w:tc>
          <w:tcPr>
            <w:tcW w:w="266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Şoför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Rehber Personel (varsa)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2665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İnceleyen (talep hâlinde)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6/1-a, c (planlama, kayıt), md. 9/1-g, ğ (araç içi kontrol; oturarak güvenli yolculuk), md. 9/2-d, e (rehber: taşıt içi düzen, kemer kontrolü, araç içi kontrol), md. 14 (kıyasen — kreş/gündüz bakımevi takip defteri); UE EK-1 md. 3/1-a, l, m, o, ö; 4-g, ğ, ı; 7-g; OK Servis Kuralları.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OK = okulun "Okul Kuralları ve Uygulamaları" belgesinin "Servis Kuralları" bölümü (okul yönetimince hazırlanır ve okul internet sayfasında yayımlanır).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Öğrenci ve veli verileri; öğrenci güvenliği, taşıma faaliyetinin planlanması ve kayıt yükümlülüğü (Yön. md. 6/1-a, c) amacıyla 6698 sayılı Kanun md. 5/2-ç uyarınca amaçla sınırlı işlenir; veli iletişim bilgisi yalnız acil durum ve servis aksaklığı bildirimi için kullanılır; form yalnız ilgili müdür yardımcısı,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GNL-SRV-FR-011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HAFTALIK SERVİS YOKLAMA ÇİZELGESİ (ŞOFÖR)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GNL-SRV-FR-011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GNL-SRV-FR-011_Haftalik_Servis_Yoklama_Cizelgesi_v1.0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