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Servis araçlarının okul alanındaki indirme-bindirme yerlerini belirlemek (Yön. md. 6/1-ç) ve taşınacak öğrencinin araçtaki azami seyahat süresini belirlemek (Yön. md. 6/1-g) okul yönetiminin görevidir; taşımacı belirlenen süreye uymakla yükümlüdür (Yön. md. 5/2-h). Güzergâhlar komisyon ve taşımacı tarafından ortaklaşa, güvenli yollar tercih edilerek belirlenir (UE EK-1 md. 4-ç).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KARAR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Eğitim ve öğretim yılı</w:t>
            </w:r>
          </w:p>
        </w:tc>
        <w:tc>
          <w:tcPr>
            <w:tcW w:w="7710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[20..-20..]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/ karar tarihi</w:t>
            </w:r>
          </w:p>
        </w:tc>
        <w:tc>
          <w:tcPr>
            <w:tcW w:w="7710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Katılanlar</w:t>
            </w:r>
          </w:p>
        </w:tc>
        <w:tc>
          <w:tcPr>
            <w:tcW w:w="7710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Okul yönetimi, taşımacı temsilcisi, OAB başkanı (komisyon üyesi)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</w:t>
            </w:r>
          </w:p>
        </w:tc>
        <w:tc>
          <w:tcPr>
            <w:tcW w:w="7710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GÜZERGÂHLAR VE AZAMİ SEYAHAT SÜRELERİ</w:t>
      </w:r>
    </w:p>
    <w:tbl>
      <w:tblPr>
        <w:tblLayout w:type="fixed"/>
        <w:tblLook w:firstColumn="1" w:firstRow="1" w:lastColumn="0" w:lastRow="0" w:noHBand="0" w:noVBand="1" w:val="04A0"/>
        <w:tblW w:w="10657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907"/>
        <w:gridCol w:w="2494"/>
        <w:gridCol w:w="3628"/>
        <w:gridCol w:w="1247"/>
        <w:gridCol w:w="1247"/>
        <w:gridCol w:w="1134"/>
      </w:tblGrid>
      <w:tr>
        <w:trPr>
          <w:tblHeader/>
          <w:cantSplit/>
        </w:trPr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Güzergâh no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Başlangıç noktası</w:t>
            </w: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Ana duraklar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Okula varış saati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Okuldan kalkış saati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Azami süre (dk)</w:t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Servis araçları öğrencileri ders başlangıcından en az 15 dakika önce okula teslim eder; öğrenciler evden gereğinden erken alınmaz, okulda 15 dakikadan fazla bekletilmez; ders bitiminde bekletilmeden alınır (UE EK-1 md. 4-g). Okul açılış-kapanış saatlerine göre taşıma, MEB'ce belirlenen azami sürelere uygun yapılır (Yön. md. 5/2-a). Yeni güzergâh açılması komisyonun uygun bulmasına bağlıdır (UE EK-2 md. 5-ı).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OKUL ALANI İNDİRME-BİNDİRME YERİ (Yön. md. 6/1-ç)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İndirme-bindirme yeri tanımı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Sabah ve akşam kullanım düzeni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alanı kullanım kuralları (Yön. md. 6/1-d)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>
            <w:r>
              <w:rPr>
                <w:rFonts w:ascii="Calibri" w:hAnsi="Calibri"/>
                <w:b/>
                <w:i w:val="0"/>
                <w:color w:val="767676"/>
                <w:sz w:val="16"/>
              </w:rPr>
              <w:t>KROKİ (okul alanı, servis giriş-çıkış ve bekleme düzeni):</w:t>
            </w:r>
          </w:p>
          <w:p/>
          <w:p/>
          <w:p/>
          <w:p/>
          <w:p/>
          <w:p/>
          <w:p/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rPr>
          <w:cantSplit/>
        </w:trPr>
        <w:tc>
          <w:tcPr>
            <w:tcW w:w="2665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  <w:tc>
          <w:tcPr>
            <w:tcW w:w="2665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Müdür Yardımcısı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</w:t>
            </w:r>
          </w:p>
        </w:tc>
        <w:tc>
          <w:tcPr>
            <w:tcW w:w="2665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OAB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5/2-a, 5/2-h, 6/1-ç, 6/1-d, 6/1-g; UE EK-1 md. 4-ç, 4-d, 4-g; UE EK-2 md. 5-ı.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GNL-SRV-FR-007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GÜZERGÂH, İNDİRME-BİNDİRME YERİ VE AZAMİ SEYAHAT SÜRESİ BELİRLEME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GNL-SRV-FR-007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GNL-SRV-FR-007_Guzergah_Indirme_Bindirme_ve_Azami_Sure_Tutanagi_v1.0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