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7"/>
        </w:rPr>
        <w:t>Kişi başına bir form düzenlenir. Ortaöğretim kurumlarına öğrenci taşıyan servislerde rehber personel bulundurma zorunluluğu yoktur (Yön. md. 3/1-h tanımı ortaöğretimi hariç tutar); rehber personel çalıştırılıyorsa md. 9/2 şartları aranır.</w:t>
      </w:r>
    </w:p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PERSONEL BİLGİLERİ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402"/>
        <w:gridCol w:w="7257"/>
      </w:tblGrid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Adı ve soyadı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Görevi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Şoför        ☐ Rehber personel</w:t>
            </w: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Taşımacı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Görevli olduğu araç plakası / güzergâh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Göreve başlama tarihi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ŞOFÖR ŞARTLARI (Yön. md. 9/1)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5669"/>
        <w:gridCol w:w="1020"/>
        <w:gridCol w:w="680"/>
        <w:gridCol w:w="2835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5669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Şart / belge</w:t>
            </w:r>
          </w:p>
        </w:tc>
        <w:tc>
          <w:tcPr>
            <w:tcW w:w="102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Bent</w:t>
            </w:r>
          </w:p>
        </w:tc>
        <w:tc>
          <w:tcPr>
            <w:tcW w:w="68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Uygun</w:t>
            </w:r>
          </w:p>
        </w:tc>
        <w:tc>
          <w:tcPr>
            <w:tcW w:w="283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Tarih / geçerlilik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26 yaşından gün almış, 66 yaşından gün almamış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Adli sicil kaydı belgesi — md. 9/1-b'deki suçlardan mahkûmiyet/kovuşturma yok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Sürücü belgesi: D için en az 2 yıl / D1 için en az 5 yıl (B'de geçen sürenin D'de 1, D1'de 3 yılı sayılır — md. 9/5)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c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Yıllık aile hekimi raporu (okul servis şoförlüğüne uygunluk)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c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Psikoteknik rapor (5 yılda bir, yetkili kuruluştan)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ç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Son 5 yılda: bilinçli taksirle ölümlü kazaya karışmamış; alkol/hız nedeniyle belge birden fazla geri alınmamış; KK md. 35 kabahati alışkanlık değil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Yurtiçi Yolcu Taşımacılığı Sürücü Mesleki Yeterlilik Belgesi (SRC)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UKOME/İl Trafik Komisyonu kararıyla zorunluysa MYK mesleki yeterlilik belgesi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f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9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İl/ilçe MEM eğitim sertifikası (Yön. md. 6/2)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10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SGK sigorta bildirimi (taşımacı yükümlülüğü)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5/2-ç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REHBER PERSONEL ŞARTLARI (varsa — Yön. md. 9/2)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5669"/>
        <w:gridCol w:w="1020"/>
        <w:gridCol w:w="680"/>
        <w:gridCol w:w="2835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5669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Şart / belge</w:t>
            </w:r>
          </w:p>
        </w:tc>
        <w:tc>
          <w:tcPr>
            <w:tcW w:w="102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Bent</w:t>
            </w:r>
          </w:p>
        </w:tc>
        <w:tc>
          <w:tcPr>
            <w:tcW w:w="68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Uygun</w:t>
            </w:r>
          </w:p>
        </w:tc>
        <w:tc>
          <w:tcPr>
            <w:tcW w:w="283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Tarih / geçerlilik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22 yaşını doldurmuş, 61 yaşından gün almamış; en az lise mezunu VEYA MEB onaylı kursu bitirmiş en az ilkokul mezunu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Adli sicil kaydı belgesi — md. 9/2-b'deki suçlardan mahkûmiyet/kovuşturma yok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İl/ilçe MEM eğitim sertifikası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c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Yıllık aile hekimliği raporu (rehber personel uygunluğu)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ç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TS EN ISO 20471'e uygun, önü-arkası 'REHBER' yazılı sarı reflektif yelek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f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5669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Refakatte yardımcı ışık ekipmanı (ışıklı çubuk, dur-geç levhası)</w:t>
            </w:r>
          </w:p>
        </w:tc>
        <w:tc>
          <w:tcPr>
            <w:tcW w:w="102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</w:t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835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SONUÇ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701"/>
        <w:gridCol w:w="8957"/>
      </w:tblGrid>
      <w:tr>
        <w:trPr>
          <w:tblHeader/>
          <w:cantSplit/>
        </w:trPr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Sonuç</w:t>
            </w:r>
          </w:p>
        </w:tc>
        <w:tc>
          <w:tcPr>
            <w:tcW w:w="895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İşlem</w:t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Uygun</w:t>
            </w:r>
          </w:p>
        </w:tc>
        <w:tc>
          <w:tcPr>
            <w:tcW w:w="895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Dosyaya kaldırılır (GNL-SRV-FR-001 no 18).</w:t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Şart kaybı</w:t>
            </w:r>
          </w:p>
        </w:tc>
        <w:tc>
          <w:tcPr>
            <w:tcW w:w="895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9/1 (a-f, h) veya 9/2 (a, b) şartlarını taşımayanlar mülki idare amiri kanalıyla belediyeye bildirilir; özel izin belgesi iptal edilir (Yön. md. 9/3).</w:t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Görev ihlali</w:t>
            </w:r>
          </w:p>
        </w:tc>
        <w:tc>
          <w:tcPr>
            <w:tcW w:w="895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9/1-g, ğ ve 9/2-c…g ihlalleri GNL-SRV-FR-006 ile tutanak altına alınır; bir dönemde 3 tespitte izin belgesi iptali bildirilir (Yön. md. 9/4).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658" w:type="dxa"/>
        <w:tblLayout w:type="fixed"/>
        <w:tblLook w:firstColumn="1" w:firstRow="1" w:lastColumn="0" w:lastRow="0" w:noHBand="0" w:noVBand="1" w:val="04A0"/>
      </w:tblPr>
      <w:tblGrid>
        <w:gridCol w:w="5329"/>
        <w:gridCol w:w="5329"/>
      </w:tblGrid>
      <w:tr>
        <w:trPr>
          <w:cantSplit/>
        </w:trPr>
        <w:tc>
          <w:tcPr>
            <w:tcW w:w="5329" w:type="dxa"/>
          </w:tcPr>
          <w:p>
            <w:pPr>
              <w:spacing w:before="12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Kontrol Eden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Müdür Yardımcısı</w:t>
            </w:r>
          </w:p>
        </w:tc>
        <w:tc>
          <w:tcPr>
            <w:tcW w:w="5329" w:type="dxa"/>
          </w:tcPr>
          <w:p>
            <w:pPr>
              <w:spacing w:before="12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Taşımacı / Temsilcisi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</w:tr>
    </w:tbl>
    <w:p>
      <w:pPr>
        <w:spacing w:before="4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Yön. md. 9 (taşıma işlerinde çalışanların şartları), md. 6/2 (eğitim ve sertifika), md. 5/2-ç; UE md. 9/1 (sözleşmede istenen belgeler).</w:t>
      </w:r>
    </w:p>
    <w:p>
      <w:pPr>
        <w:spacing w:before="20" w:after="0"/>
      </w:pPr>
      <w:r>
        <w:rPr>
          <w:rFonts w:ascii="Calibri" w:hAnsi="Calibri"/>
          <w:b w:val="0"/>
          <w:i/>
          <w:color w:val="767676"/>
          <w:sz w:val="14"/>
        </w:rPr>
        <w:t>Yön. = Okul Servis Araçları Yönetmeliği (RG 25.10.2017/30221; son değişiklik RG 19.08.2025/32991) · UE = Okul Servis Araçlarının Çalıştırılmasına İlişkin Usul ve Esaslar (MEB Destek Hizmetleri GM, 30.05.2018 tarihli ve E.10581842 sayılı Olur) · OAB Yön. = MEB Okul-Aile Birliği Yönetmeliği (RG 09.02.2012/28199).</w:t>
      </w:r>
      <w:r>
        <w:rPr>
          <w:rFonts w:ascii="Calibri" w:hAnsi="Calibri"/>
          <w:b w:val="0"/>
          <w:i/>
          <w:color w:val="767676"/>
          <w:sz w:val="14"/>
        </w:rPr>
        <w:t xml:space="preserve">  ▪  KVKK: Kişisel veriler, okul servis mevzuatındaki yükümlülüklerin yerine getirilmesi amacıyla 6698 sayılı Kanun md. 5/2-ç (hukuki yükümlülük) uyarınca işlenir; yalnızca yetkili merci ve denetim komisyonlarıyla paylaşılır.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SERVİSİ GENEL BELGE SETİNİN parçasıdır (sürüm 2026.08 (29.08.2026));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17.08.2026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GNL-SRV-FR-004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Servis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ŞOFÖR VE REHBER PERSONEL BELGE KONTROL FORMU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GNL-SRV-FR-004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GNL-SRV-FR-004_Sofor_ve_Rehber_Personel_Belge_Kontrol_Formu_v1.0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