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 w:val="0"/>
          <w:i w:val="0"/>
          <w:color w:val="767676"/>
          <w:sz w:val="17"/>
        </w:rPr>
        <w:t>Taşımacı başına bir form düzenlenir; başvuru belgeleri UE md. 6/1'e, sözleşme belgeleri UE md. 9/1'e göre kontrol edilir.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TAŞIMACI BİLGİLERİ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Adı / unvanı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Gerçek / tüzel kişi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Gerçek kişi      ☐ Tüzel kişi (A.Ş. / koop. / diğer: ………………)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Tebligat adresi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Telefon / faks / e-posta (UE md. 6/1-a)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Temsile yetkili kişi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BAŞVURU AŞAMASI BELGELERİ (UE md. 6/1)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102"/>
        <w:gridCol w:w="2268"/>
        <w:gridCol w:w="680"/>
        <w:gridCol w:w="215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Var</w:t>
            </w:r>
          </w:p>
        </w:tc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Tebligat adres beyanı, telefon, varsa faks ve e-posta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Oda kayıt belgesi (ilan yılı içinde alınmış; gerçek kişi: ticaret/sanayi veya meslek odası)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6/1-b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Tüzel kişide sicil kayıt belgesi (ilan yılı içinde)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Taşıt tescil uygunluğu: gerçek kişide kendi adına; tüzel kişide en az üçte biri tüzel kişilik adına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6/1-ç; Yön. md. 8/3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ruhsat fotokopileri ve araç muayene raporları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6/1-d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Tahdit/tahsis uygulanan ilde tahditli/tahsisli plaka belgeleri; diğer ilde gerekli izin belgeleri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6/1-e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Servis ve yolcu taşımacılığını gösterir NACE kodlu faaliyet belgesi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6/1-f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SÖZLEŞME AŞAMASI BELGELERİ (UE md. 9/1)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102"/>
        <w:gridCol w:w="2268"/>
        <w:gridCol w:w="680"/>
        <w:gridCol w:w="215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Var</w:t>
            </w:r>
          </w:p>
        </w:tc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Çalıştırılacak şoför ve rehber personelin adli sicil (sabıka) kayıt belgeleri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9/1-a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Özel izin belgesi (sözleşme imzasından sonra ibraz edilir)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9/1-b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Sürücü belgeleri — süre şartı için güncel Yönetmelik esas alınır: D en az 2 yıl, D1 en az 5 yıl (*)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9/1-c, 9/5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Şoförlerin yıllık aile hekimi sağlık raporları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9/1-c; UE md. 9/1-ç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Rehber personelin sağlık raporu (rehber çalıştırılıyorsa)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9/2-ç; UE md. 9/1-d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Şoförlerin psikoteknik raporları (5 yılda bir)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9/1-ç; UE md. 9/1-e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İl/ilçe MEM eğitim sertifikaları (şoför + rehber)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6/2, 9/1-h; UE md. 9/1-f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Zorunlu mali sorumluluk sigortası poliçeleri (araç başına)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10, 12; UE md. 9/1-g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ruhsat fotokopileri ve muayene raporları (güncel)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md. 9/1-ğ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20" w:after="20"/>
      </w:pPr>
      <w:r>
        <w:rPr>
          <w:rFonts w:ascii="Calibri" w:hAnsi="Calibri"/>
          <w:b/>
          <w:i w:val="0"/>
          <w:color w:val="D3373A"/>
          <w:sz w:val="15"/>
        </w:rPr>
        <w:t xml:space="preserve">(*) </w:t>
      </w:r>
      <w:r>
        <w:rPr>
          <w:rFonts w:ascii="Calibri" w:hAnsi="Calibri"/>
          <w:b w:val="0"/>
          <w:i w:val="0"/>
          <w:color w:val="767676"/>
          <w:sz w:val="15"/>
        </w:rPr>
        <w:t>UE md. 9/1-c'deki 'D için 5, D1 için 7 yıl' ifadesi RG 29.11.2024/32737 öncesi hükme göredir; üst ve güncel norm olan Yön. md. 9/1-c uygulanır: D en az 2, D1 en az 5 yıl; B sınıfında geçen sürenin D'de en fazla 1, D1'de en fazla 3 yılı sayılır (md. 9/5, Ek: RG 19.08.2025/32991).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TAŞIMACININ ŞARTLARI VE DİĞER YÜKÜMLÜLÜKLER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102"/>
        <w:gridCol w:w="2268"/>
        <w:gridCol w:w="680"/>
        <w:gridCol w:w="215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Kontrol kalemi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Taşımacının (tüzel kişide yönetim kurulu üyeleri/ortaklar ve temsilciler dâhil) Yön. md. 5/1'deki adli şartları taşıdığına ilişkin belgeler/beyan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5/1-a,b,c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Belediye sınırları dışına/dışından taşıma varsa karayolu yolcu taşımacılığı yetki belgesi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5/4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Çalışanların SGK sigorta işlemleri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5/2-ç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Fiyat tarifesine uygunluk (büyükşehirde UKOME tarifesi)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5/2-d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1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takip sistemi verilerini okul/kolluk/veli ile paylaşma taahhüdü</w:t>
            </w:r>
          </w:p>
        </w:tc>
        <w:tc>
          <w:tcPr>
            <w:tcW w:w="226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5/2-g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628"/>
      </w:tblGrid>
      <w:tr>
        <w:trPr>
          <w:cantSplit/>
        </w:trPr>
        <w:tc>
          <w:tcPr>
            <w:tcW w:w="351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Eden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351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628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5 (taşımacının şartları ve yükümlülükleri), md. 8-10; UE md. 6, 9 (belge listeleri).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Kişisel veriler, okul servis mevzuatındaki yükümlülüklerin yerine getirilmesi amacıyla 6698 sayılı Kanun md. 5/2-ç (hukuki yükümlülük) uyarınca işlenir; yalnızca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GNL-SRV-FR-002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TAŞIMACI EVRAK KONTROL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GNL-SRV-FR-002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GNL-SRV-FR-002_Tasimaci_Evrak_Kontrol_Formu_v1.0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