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Yönetim kurulu birlik adına görev yapar; genel kurulda alınan kararları okul yönetimiyle iş birliği yaparak bir plan dâhilinde yürütür (OAB Yön. md. 13/1) ve yaptığı iş ve işlemlerden dolayı genel kurula karşı sorumludur (md. 13/8). Genel kurul, bir önceki döneme ait yönetim kurulu faaliyet raporunu görüşür ve ibra eder (md. 11/1-c). Rapor, denetleme kurulunun nihai raporu (OAB-FR-013) ile birlikte genel kurul gündeminin 4 üncü maddesinde okunur (OAB-FR-002/004). Öğrenci ve veli adı yazılmaz; sayısal özet verilir.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DÖNEM VE KURUL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515"/>
        <w:gridCol w:w="7143"/>
      </w:tblGrid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Faaliyet dönemi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 (genel kurul) – …/…/20… (genel kurul)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Yönetim kurulu üyeleri (görevleriyle)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Toplantı sayısı / karar sayısı (OAB-FR-008)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 toplantı · …… karar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müdürüne yapılan aylık bildirimler (OAB-FR-009)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 adet (aylar: ……)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FAALİYETLER (Yönetmelik md. 6 görev alanlarına göre)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742"/>
        <w:gridCol w:w="5216"/>
        <w:gridCol w:w="1701"/>
      </w:tblGrid>
      <w:tr>
        <w:trPr>
          <w:tblHeader/>
          <w:cantSplit/>
        </w:trPr>
        <w:tc>
          <w:tcPr>
            <w:tcW w:w="374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Görev alanı (md. 6/1)</w:t>
            </w:r>
          </w:p>
        </w:tc>
        <w:tc>
          <w:tcPr>
            <w:tcW w:w="5216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Yapılan iş ve işlemler (özet)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Sayı / tutar (TL)</w:t>
            </w: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d) Okul ihtiyaçları için mal ve hizmet alımı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ğ) İmkânı yeterli olmayan öğrencilere maddi-manevi destek (sayı, ad yazılmaz)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c, e) Kurs, sınav, sosyal-kültürel-sportif etkinlik, belirli gün-hafta ve yarışma katkıları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f) Bağış kabulü ve kampanyalar (adet/tutar; şartlı bağışların kullanımı)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g) Kantin: kiralama/işletme, kira tahsilatı, arz bedeli ve payların takibi, denetimlere katılım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h) Okul servisi: Taşımacıyı Tespit Komisyonu çalışmalarına katılım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ç) Eğitim ortamlarının ders dışı zamanlarda değerlendirilmesine katkı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ı, i, j) Kurum/STK iş birliği, çalışma komisyonlarına katkı, projeler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Personel istihdamı (varsa) — md. 6/1-d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b) Stratejik plan ve öğretmenler kurulu kararlarının uygulanmasına destek; veli iş birliği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Diğer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</w:tbl>
    <w:p>
      <w:pPr>
        <w:keepNext/>
        <w:pageBreakBefore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KESİN HESAP CETVELİ (tahmini bütçe ile karşılaştırmalı)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835"/>
        <w:gridCol w:w="1247"/>
        <w:gridCol w:w="1361"/>
        <w:gridCol w:w="2835"/>
        <w:gridCol w:w="1134"/>
        <w:gridCol w:w="1247"/>
      </w:tblGrid>
      <w:tr>
        <w:trPr>
          <w:tblHeader/>
          <w:cantSplit/>
        </w:trPr>
        <w:tc>
          <w:tcPr>
            <w:tcW w:w="283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GELİRLER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Tahmini (TL)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Gerçekleşen (TL)</w:t>
            </w:r>
          </w:p>
        </w:tc>
        <w:tc>
          <w:tcPr>
            <w:tcW w:w="283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GİDERLER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Tahmini (TL)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Gerçekleşen (TL)</w:t>
            </w:r>
          </w:p>
        </w:tc>
      </w:tr>
      <w:tr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Önceki dönemden devreden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Eğitim-öğretim giderleri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Kantin kira (birlik payı %80)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Bakım-onarım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Nakdî bağışlar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Temizlik ve sarf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Ayni bağışlar (değer)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Öğrenci destekleri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Etkinlik / kampanya / kullandırma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Personel + tazminat karşılığı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Diğer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Etkinlik giderleri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28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Diğer (banka, noter, makbuz vb.)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TOPLAM GELİR (devir dâhil)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TOPLAM GİDER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DÖNEM SONU BAKİYE: banka …………… TL · kasa …………… TL (ekstre tarihi …/…/20…)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Şartlı bağış bakiyesi: …………… TL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YÜKÜMLÜLÜK KONTROLÜ (özet)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6236"/>
        <w:gridCol w:w="2041"/>
        <w:gridCol w:w="1928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6236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Yükümlülük</w:t>
            </w:r>
          </w:p>
        </w:tc>
        <w:tc>
          <w:tcPr>
            <w:tcW w:w="204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Durum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23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Aylık toplantılar yapıldı; kararlar karar defterine el ile yazıldı</w:t>
            </w: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13/3, 13/5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23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müdürüne aylık bildirimler yapıldı</w:t>
            </w: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18/5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23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Tahmini bütçe ve dönemlik gelir-gider duyuruları pano + internette yapıldı</w:t>
            </w: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13/9-10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23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Harcamalar YK kararı + okul talebi + komisyonla; ödemeler müşterek imzayla; TİF ekli</w:t>
            </w: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18/1-3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23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Kantin arz bedeli ve il/ilçe payları süresinde; faaliyet belgesi alındı</w:t>
            </w: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17, 20/7, 23/4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23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TEFBİS kayıtları okul idaresince güncel tutuldu</w:t>
            </w: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23/5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23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Denetleme kurulu ara raporlarındaki eksiklikler giderildi</w:t>
            </w: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14/4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E. GELECEK DÖNEME ÖNERİLER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/>
          <w:p/>
          <w:p/>
          <w:p/>
          <w:p/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490" w:type="dxa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</w:tblGrid>
      <w:tr>
        <w:trPr>
          <w:cantSplit/>
        </w:trPr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Başkan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Başkan Yrd.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Muhasip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Sekreter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widowControl/>
        <w:spacing w:before="120" w:after="40"/>
      </w:pPr>
      <w:r>
        <w:rPr>
          <w:rFonts w:ascii="Calibri" w:hAnsi="Calibri"/>
          <w:b w:val="0"/>
          <w:i w:val="0"/>
          <w:color w:val="4F4F4F"/>
          <w:sz w:val="17"/>
        </w:rPr>
        <w:t>Genel kurula sunuldu: …/…/20…  (OAB-FR-004 gündem 4)  ·  İbra: ☐ edildi ☐ edilmedi</w:t>
      </w:r>
    </w:p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6/1-2, 11/1-c, 13/1, 13/3-10, 14/4, 17, 18, 23/5; DR 5.2/1 (Tablo 7).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GNL-OAB-FR-023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  <w:r>
      <w:rPr>
        <w:rFonts w:ascii="Calibri" w:hAnsi="Calibri"/>
        <w:b w:val="0"/>
        <w:i w:val="0"/>
        <w:color w:val="767676"/>
        <w:sz w:val="14"/>
      </w:rPr>
      <w:t xml:space="preserve"> · Sayfa </w:t>
    </w:r>
    <w:fldSimple w:instr="PAGE">
      <w:r>
        <w:rPr>
          <w:sz w:val="14"/>
          <w:color w:val="767676"/>
        </w:rPr>
        <w:t>1</w:t>
      </w:r>
    </w:fldSimple>
    <w:r>
      <w:rPr>
        <w:rFonts w:ascii="Calibri" w:hAnsi="Calibri"/>
        <w:b w:val="0"/>
        <w:i w:val="0"/>
        <w:color w:val="767676"/>
        <w:sz w:val="14"/>
      </w:rPr>
      <w:t xml:space="preserve"> / </w:t>
    </w:r>
    <w:fldSimple w:instr="NUMPAGES">
      <w:r>
        <w:rPr>
          <w:sz w:val="14"/>
          <w:color w:val="76767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YÖNETİM KURULU YILLIK FAALİYET RAPORU VE KESİN HESAP CETVELİ — GENEL KURULA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GNL-OAB-FR-023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GNL-OAB-FR-023_Yonetim_Kurulu_Yillik_Faaliyet_Raporu_ve_Kesin_Hesap_Cetveli_v1.0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