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Mal ve hizmet alımları, birlik yönetim kurulu üyeleri veya uzmanlık gerektiren işlerde okul-aile birliği üyelerinden oluşan EN AZ ÜÇ KİŞİLİK bir komisyon marifetiyle yapılır (OAB Yön. md. 18/1). Md. 12/5'te sayılan suçlardan ceza alanlar harcama komisyonlarında görev alamaz. Gelirlerin elde edilmesinde ve harcanmasında görevli olanlar kaynakların etkili, verimli ve mevzuata uygun kullanılmasından sorumludur (md. 18/4). Alınan taşınırlar/demirbaşlar/tüketim malzemeleri Taşınır Mal Yönetmeliğine göre OKUL ADINA kaydedilir; taşınır işlem fişinin bir örneği harcama belgesine eklenir (md. 18/3). Yönetmelik komisyona ad vermez; 'md. 18/1 uyarınca oluşturulan mal ve hizmet alım (harcama) komisyonu' olarak anılır. Birlik, md. 6 kapsamındaki işlemleri ve düzenlenen kâğıtlar yönünden damga vergisi ve harçlardan muaftır (md. 24).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İŞ BİLGİSİ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6917"/>
      </w:tblGrid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talebi (OAB-FR-016 no / tarihi)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YK harcama kararı (karar no / tarihi) ve üst sınır (TL)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üyeleri (≥3; sıfatı: YK üyesi / OAB üyesi-uzman)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1) ……………………  2) ……………………  3) ……………………</w:t>
            </w: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Alım konusu (mal / hizmet / onarım)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PİYASA ARAŞTIRMASI (teklifler)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2948"/>
        <w:gridCol w:w="1247"/>
        <w:gridCol w:w="1814"/>
        <w:gridCol w:w="3288"/>
        <w:gridCol w:w="794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294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Firma / kişi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Teklif tarihi</w:t>
            </w:r>
          </w:p>
        </w:tc>
        <w:tc>
          <w:tcPr>
            <w:tcW w:w="181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Teklif tutarı (KDV dâhil, TL)</w:t>
            </w:r>
          </w:p>
        </w:tc>
        <w:tc>
          <w:tcPr>
            <w:tcW w:w="328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Teslim süresi / garanti / şartlar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Yönetmelik teklif sayısı belirlemez; şeffaflık ve bütçe disiplini (md. 18/1, 18/4; DR 5.2/4) için en az üç yazılı teklif alınması OKUL UYGULAMASIDIR (öneri). Tek kaynaktan alım gerekçesi varsa C'de yazılır.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KOMİSYON KARARI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6917"/>
      </w:tblGrid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Tercih edilen teklif ve gerekçesi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Firma: ……………………  Gerekçe: ☐ en düşük bedel ☐ teknik uygunluk ☐ teslim süresi ☐ tek kaynak (……)</w:t>
            </w: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Karar tutarı (TL) / bütçe kalemi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Ödeme usulü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Banka havalesi — birlik başkanı + muhasip üye müşterek imzasıyla (md. 18/2)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Üyesi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Üyesi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Üyesi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TESLİM ALMA VE KAYIT (md. 18/3; TMY)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35"/>
        <w:gridCol w:w="6123"/>
      </w:tblGrid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/ kabul tarihi ve kontrol eden (komisyon)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Taşınır / demirbaş ise: okul taşınır kayıt yetkilisine teslim — Varlık İşlem Fişi tarih / no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Tüketim malzemesi ise: okul deposuna giriş (TİF no) · Hizmet ise: hizmet kabul tutanağı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Fatura / belge (birlik adına) tarih / no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widowControl/>
        <w:spacing w:before="80" w:after="40"/>
      </w:pPr>
      <w:r>
        <w:rPr>
          <w:rFonts w:ascii="Calibri" w:hAnsi="Calibri"/>
          <w:b w:val="0"/>
          <w:i w:val="0"/>
          <w:color w:val="4F4F4F"/>
          <w:sz w:val="17"/>
        </w:rPr>
        <w:t>Taşınır kayıt yetkilisi (okul): Ad Soyad …………………… İmza ……………  …/…/20…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12/5, 18/1-4, 24; TMY (RG 10.10.2024/32688); DR 5.2/4.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GNL-OAB-FR-017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MAL VE HİZMET ALIM KOMİSYONU PİYASA ARAŞTIRMASI VE KARAR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GNL-OAB-FR-017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GNL-OAB-FR-017_Mal_ve_Hizmet_Alim_Komisyonu_Piyasa_Arastirmasi_ve_Karar_Tutanagi_v1.0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