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Birlik, okula yapılan ayni ve nakdî bağışları kabul ederek kayıtlarını tutar; şartlı bağışları amacına uygun kullanır (OAB Yön. md. 6/1-f). Gelirler birlik adına açılan banka hesabında toplanır (md. 16/1). Nakdî bağışların öncelikle banka hesabına yatırılması sağlanır; mümkün olmadığında GELİR MAKBUZU (resmî EK-1 Ayni/Nakdî Bağış Alındı Belgesi — seri-cilt-sıra nolu, kurum mührüyle mühürlü, md. 16/5) karşılığında alınır ve EN GEÇ BEŞ İŞ GÜNÜ içinde bankaya yatırılır (md. 16/3). Nakde çevrilebilen ayni yardımlar nakde çevrilip hesaba yatırılır; çevrilemeyenler belge karşılığında OKUL MÜDÜRLÜĞÜNE teslim edilir (md. 16/2) ve okul taşınır kayıt yetkilisince Varlık İşlem Fişi ile kayda alınır — bir nüshası bağışçıya verilir (TMY md. 16). Birlikler velileri hiçbir surette bağışa zorlayamaz, kayıt döneminde bağış toplayamaz (md. 15/2; G.2011/40). Bağış ve yardımlar veraset ve intikal vergisinden muaftır (md. 24). Bu çizelge resmî makbuzun yerine geçmez; makbuzla yapılan kabulleri izler.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NAKDÎ BAĞIŞLAR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7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1020"/>
        <w:gridCol w:w="2041"/>
        <w:gridCol w:w="2494"/>
        <w:gridCol w:w="1587"/>
        <w:gridCol w:w="1134"/>
        <w:gridCol w:w="1814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Sıra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Tarih</w:t>
            </w:r>
          </w:p>
        </w:tc>
        <w:tc>
          <w:tcPr>
            <w:tcW w:w="204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EK-1 makbuz seri/cilt/sıra (veya 'havale')</w:t>
            </w:r>
          </w:p>
        </w:tc>
        <w:tc>
          <w:tcPr>
            <w:tcW w:w="24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Bağışçı (ad / unvan)</w:t>
            </w:r>
          </w:p>
        </w:tc>
        <w:tc>
          <w:tcPr>
            <w:tcW w:w="158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Şartlı mı? (amaç)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Tutar (TL)</w:t>
            </w:r>
          </w:p>
        </w:tc>
        <w:tc>
          <w:tcPr>
            <w:tcW w:w="181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Bankaya yatış tarihi (≤5 iş günü) / dekont no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AYNİ BAĞIŞLAR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1020"/>
        <w:gridCol w:w="1361"/>
        <w:gridCol w:w="2268"/>
        <w:gridCol w:w="2268"/>
        <w:gridCol w:w="1134"/>
        <w:gridCol w:w="2041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Sıra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Tarih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EK-1 makbuz no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Bağışçı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Cinsi / miktarı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Takdir değeri (TL)</w:t>
            </w:r>
          </w:p>
        </w:tc>
        <w:tc>
          <w:tcPr>
            <w:tcW w:w="204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İşlem: nakde çevrildi (tarih/dekont) · okul müdürlüğüne teslim (belge / TİF no)</w:t>
            </w:r>
          </w:p>
        </w:tc>
      </w:tr>
      <w:tr>
        <w:tc>
          <w:tcPr>
            <w:tcW w:w="56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1134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1134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1134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1134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1134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  <w:tc>
          <w:tcPr>
            <w:tcW w:w="1134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ŞARTLI BAĞIŞ İZLEME (md. 16/4 — amacı dışında kullanılamaz)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041"/>
        <w:gridCol w:w="3175"/>
        <w:gridCol w:w="1247"/>
        <w:gridCol w:w="2948"/>
        <w:gridCol w:w="1247"/>
      </w:tblGrid>
      <w:tr>
        <w:trPr>
          <w:tblHeader/>
          <w:cantSplit/>
        </w:trPr>
        <w:tc>
          <w:tcPr>
            <w:tcW w:w="204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Bağış (makbuz no / tarih)</w:t>
            </w:r>
          </w:p>
        </w:tc>
        <w:tc>
          <w:tcPr>
            <w:tcW w:w="317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Şart / amaç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Tutar (TL)</w:t>
            </w:r>
          </w:p>
        </w:tc>
        <w:tc>
          <w:tcPr>
            <w:tcW w:w="294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Kullanım (YK karar no · tarih · tutar)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Kalan (TL)</w:t>
            </w:r>
          </w:p>
        </w:tc>
      </w:tr>
      <w:tr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  <w:tc>
          <w:tcPr>
            <w:tcW w:w="3175" w:type="dxa"/>
            <w:vAlign w:val="top"/>
          </w:tcPr>
          <w:p>
            <w:pPr>
              <w:spacing w:before="20" w:after="20"/>
            </w:pP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  <w:tc>
          <w:tcPr>
            <w:tcW w:w="3175" w:type="dxa"/>
            <w:vAlign w:val="top"/>
          </w:tcPr>
          <w:p>
            <w:pPr>
              <w:spacing w:before="20" w:after="20"/>
            </w:pP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  <w:tc>
          <w:tcPr>
            <w:tcW w:w="3175" w:type="dxa"/>
            <w:vAlign w:val="top"/>
          </w:tcPr>
          <w:p>
            <w:pPr>
              <w:spacing w:before="20" w:after="20"/>
            </w:pP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  <w:tc>
          <w:tcPr>
            <w:tcW w:w="3175" w:type="dxa"/>
            <w:vAlign w:val="top"/>
          </w:tcPr>
          <w:p>
            <w:pPr>
              <w:spacing w:before="20" w:after="20"/>
            </w:pP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  <w:shd w:val="clear" w:fill="F0F0F0"/>
          </w:tcPr>
          <w:p>
            <w:pPr>
              <w:spacing w:before="40" w:after="20"/>
            </w:pPr>
            <w:r>
              <w:rPr>
                <w:rFonts w:ascii="Calibri" w:hAnsi="Calibri"/>
                <w:b/>
                <w:i w:val="0"/>
                <w:color w:val="2C6696"/>
                <w:sz w:val="17"/>
              </w:rPr>
              <w:t>UYARI — BAĞIŞ TOPLAMADA YASAKLAR (md. 15/2; G.2011/40)</w:t>
            </w:r>
          </w:p>
          <w:p>
            <w:pPr>
              <w:spacing w:before="10" w:after="10"/>
              <w:jc w:val="both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Öğrenci kayıt-kabullerinde ve diploma verilirken kesinlikle bağış talep edilmez; okul-aile birliği temsilcileri bu dönemlerde velilerle bağış amacıyla karşı karşıya getirilmez; kayıt/diploma karşılığı birlik hesabına para yatırılması söz konusu olamaz (G.2011/40 md. 1-2). Bakanlık proje ve protokolleri kapsamındaki faaliyetlerden ücret talep edilemez (md. 15/2). Her bağış için makbuz/dekont düzenlenir; bağışçı adı duyurularda yayımlanmaz.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/>
        </w:trPr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Muhasip 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Ayni bağış teslim alan — 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6/1-f, 15/1-a, 15/2, 16/1-7, 18/3, 24; TMY md. 16; G.2011/40; DR 5.1/1, 5.2/9.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MEB Okul-Aile Birliği Yönetmeliğindeki yükümlülüklerin yerine getirilmesi amacıyla 6698 sayılı Kanunun 5/2-ç maddesi (hukuki yükümlülük) uyarınca işlenir; yalnızca birlik organları, okul yönetimi ve yetkili denetim mercileriyle paylaşılır, Devlet Arşiv Hizmetleri Hakkında Yönetmelikte öngörülen süre kadar okulda muhafaza edilir (OAB Yön. md. 23/6).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GNL-OAB-FR-014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BAĞIŞ KABUL VE KAYIT İZLEME ÇİZELGESİ (RESMÎ EK-1 MAKBUZ ESASLI)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GNL-OAB-FR-014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GNL-OAB-FR-014_Bagis_Kabul_ve_Kayit_Izleme_Cizelgesi_v1.0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