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Denetleme kurulu, yönetim kurulunun faaliyet dönemine ilişkin nihai raporunu genel kurula sunar (OAB Yön. md. 14/4); genel kurul bir önceki döneme ait yönetim ve denetleme kurulu faaliyet raporlarını görüşür ve ibra eder (md. 11/1-c). Rapor, ara denetim raporlarının (OAB-FR-012) birleştirilmiş sonucudur ve genel kurul gündeminin 5 inci maddesinde okunur (OAB-FR-002/004) ve yeni genel kuruldan önce tamamlanır.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DÖNEM VE KURUL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515"/>
        <w:gridCol w:w="7143"/>
      </w:tblGrid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Denetlenen faaliyet dönemi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(genel kurul) – …/…/20… (genel kurul)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Denetleme kurulu üyeleri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Yapılan ara denetimler (tarih / OAB-FR-012 no)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1) ……………  2) ……………  3) ……………</w:t>
            </w:r>
          </w:p>
        </w:tc>
      </w:tr>
      <w:tr>
        <w:trPr>
          <w:cantSplit/>
        </w:trPr>
        <w:tc>
          <w:tcPr>
            <w:tcW w:w="3515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Raporun genel kurula sunulma tarihi</w:t>
            </w:r>
          </w:p>
        </w:tc>
        <w:tc>
          <w:tcPr>
            <w:tcW w:w="7143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  (OAB-FR-004 gündem 5)</w:t>
            </w: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MALİ ÖZET (DR 5.2/1 Tablo 7 düzeni)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762"/>
        <w:gridCol w:w="1701"/>
        <w:gridCol w:w="1701"/>
        <w:gridCol w:w="2494"/>
      </w:tblGrid>
      <w:tr>
        <w:trPr>
          <w:tblHeader/>
          <w:cantSplit/>
        </w:trPr>
        <w:tc>
          <w:tcPr>
            <w:tcW w:w="476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Kalem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Tahmini bütçe (TL)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Gerçekleşen (TL)</w:t>
            </w:r>
          </w:p>
        </w:tc>
        <w:tc>
          <w:tcPr>
            <w:tcW w:w="249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Önceki dönemden devreden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 kira geliri (birlik payı)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Nakdî bağışlar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Ayni bağışlar (değer)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/ kampanya / kısa süreli kullandırma gelirleri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 gelirler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GELİR (devir dâhil)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Eğitim-öğretim giderleri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Bakım-onarım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Temizlik ve sarf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Öğrenci destekleri (sayı: …)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Personel giderleri + tazminat karşılığı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giderleri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 giderler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TOPLAM GİDER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DÖNEM SONU BAKİYE (banka + kasa) — banka ekstresi ile teyitli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762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Şartlı bağış bakiyesi / taahhütler</w:t>
            </w: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0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94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DEĞERLENDİRME (alan bazında)</w:t>
      </w:r>
    </w:p>
    <w:tbl>
      <w:tblPr>
        <w:tblLayout w:type="fixed"/>
        <w:tblLook w:firstColumn="1" w:firstRow="1" w:lastColumn="0" w:lastRow="0" w:noHBand="0" w:noVBand="1" w:val="04A0"/>
        <w:tblW w:w="10657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35"/>
        <w:gridCol w:w="907"/>
        <w:gridCol w:w="907"/>
        <w:gridCol w:w="1247"/>
        <w:gridCol w:w="3061"/>
      </w:tblGrid>
      <w:tr>
        <w:trPr>
          <w:tblHeader/>
          <w:cantSplit/>
        </w:trPr>
        <w:tc>
          <w:tcPr>
            <w:tcW w:w="45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Alan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Kısmen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 değil</w:t>
            </w:r>
          </w:p>
        </w:tc>
        <w:tc>
          <w:tcPr>
            <w:tcW w:w="30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Açıklama</w:t>
            </w: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Defter, makbuz ve belge düzeni (md. 16, 23)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Toplantı düzeni ve kararlar (md. 13)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Gelirlerin kabulü ve bağışlar (md. 15-16; G.2011/40)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Harcamalar ve alım komisyonu (md. 18)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Kantin kira, arz bedeli, paylar (md. 17, 20-23)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Personel işlemleri (md. 6/1-d; DR 5.3)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Bildirim ve duyurular (md. 13/9-10, 18/5)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TEFBİS uyumu (md. 23/5)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4535" w:type="dxa"/>
            <w:vAlign w:val="center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Etkinlik onay zinciri (md. 6/2, 25/1)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90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1247" w:type="dxa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306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keepNext/>
        <w:pageBreakBefore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TESPİT EDİLEN EKSİKLİKLER VE GİDERİLME DURUMU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  <w:p/>
        </w:tc>
      </w:tr>
    </w:tbl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E. SONUÇ VE KANAAT</w:t>
      </w:r>
    </w:p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4F4F4F"/>
          <w:sz w:val="18"/>
        </w:rPr>
        <w:t>Yönetim kurulunun …/…/20… – …/…/20… dönemine ait iş ve işlemleri ile hesapları incelenmiş; ☐ mevzuata uygun bulunmuştur ☐ yukarıda belirtilen eksiklikler dışında uygun bulunmuştur ☐ mevzuata aykırı bulunmuştur. Rapor, ibra konusunda karar vermek üzere genel kurulun bilgisine sunulur (md. 11/1-c, 14/4).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Denetleme Kurulu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Üye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11/1-c, 14/4; DR 5.2/1 (Tablo 7); ara raporlar OAB-FR-012.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GNL-OAB-FR-013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DENETLEME KURULU YILLIK (NİHAİ) DENETİM RAPORU — GENEL KURULA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GNL-OAB-FR-013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GNL-OAB-FR-013_Denetleme_Kurulu_Yillik_Nihai_Denetim_Raporu_v1.0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