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Yönetim kurulu birlik tahmini bütçesini hazırlar ve genel kurulda görüşülen bütçeyi okul ilan panosu ve internet sayfasında duyurur (OAB Yön. md. 13/9; genel kurul görüşür — md. 11/1-d). Gelir-gider kayıtları eğitim-öğretim yılında HER DÖNEM EN AZ BİRER DEFA velilerin görebileceği şekilde ilan panosunda ve internet sayfasında duyurulur (md. 13/10). Denetimde her iki duyurunun kanıtı aranır (DR 5.2/6-7); tahmini bütçe TEFBİS'e de girilir (DR 5.2/10). Duyuruda kişi adı ve kişisel veri yer almaz; yalnız toplamlar yayımlanır. Dönemlik duyuru haftaları okul planında belirlenir (dönem sonu haftaları önerilir).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TAHMİNİ BÜTÇE — </w:t>
      </w:r>
      <w:r>
        <w:rPr>
          <w:rFonts w:ascii="Calibri" w:hAnsi="Calibri"/>
          <w:b/>
          <w:i w:val="0"/>
          <w:color w:val="C00000"/>
          <w:sz w:val="19"/>
        </w:rPr>
        <w:t>[20..-20..]</w:t>
      </w:r>
      <w:r>
        <w:rPr>
          <w:rFonts w:ascii="Calibri" w:hAnsi="Calibri"/>
          <w:b/>
          <w:i w:val="0"/>
          <w:color w:val="FFFFFF"/>
          <w:sz w:val="19"/>
        </w:rPr>
        <w:t xml:space="preserve"> (genel kurulda görüşülen)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175"/>
        <w:gridCol w:w="1247"/>
        <w:gridCol w:w="4989"/>
        <w:gridCol w:w="1247"/>
      </w:tblGrid>
      <w:tr>
        <w:trPr>
          <w:tblHeader/>
          <w:cantSplit/>
        </w:trPr>
        <w:tc>
          <w:tcPr>
            <w:tcW w:w="317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GELİR KALEMİ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Tahmin (TL)</w:t>
            </w:r>
          </w:p>
        </w:tc>
        <w:tc>
          <w:tcPr>
            <w:tcW w:w="4989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GİDER KALEMİ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Tahmin (TL)</w:t>
            </w: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Önceki dönemden devreden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Eğitim-öğretim giderleri (ders araç-gereci, donatım, kırtasiye, laboratuvar vb.)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Kantin kira geliri — birlik payı (%80)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Okul bakım-onarım ve küçük tadilat (eğitim ortamı)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Nakdî bağışlar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Temizlik, hijyen ve sarf malzemesi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Ayni bağışlar (tahminî değer)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Maddi imkânlardan yoksun öğrencilerin zorunlu ihtiyaçları (md. 5/1, 18/1)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Sosyal-kültürel etkinlik / kampanya gelirleri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Sosyal etkinlik, belirli gün-hafta, yarışma katkıları (md. 6/1-c, e)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Kısa süreli alan/salon kullandırma (md. 19/4)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Personel ücret, SGK primi, vergi (md. 6/1-d)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Diğer gelirler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Kıdem/ihbar tazminatı karşılığı (md. 6/1-d)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Arz bedeli ve il/ilçe payları (yalnız birlik işletiyorsa — md. 17/1-b)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Diğer giderler (banka masrafı, makbuz basımı, noter tasdiki vb.)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TOPLAM TAHMİNİ GELİR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TOPLAM TAHMİNİ GİDER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widowControl/>
        <w:spacing w:before="40" w:after="40"/>
      </w:pPr>
      <w:r>
        <w:rPr>
          <w:rFonts w:ascii="Calibri" w:hAnsi="Calibri"/>
          <w:b w:val="0"/>
          <w:i w:val="0"/>
          <w:color w:val="767676"/>
          <w:sz w:val="16"/>
        </w:rPr>
        <w:t>Genel kurul görüşme tarihi: …/…/20…  (OAB-FR-004 gündem 7)  ·  TEFBİS tahmini bütçe girişi: …/…/20… (okul idaresi)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DÖNEMLİK GELİR-GİDER ÖZETİ (md. 13/10)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268"/>
        <w:gridCol w:w="8391"/>
      </w:tblGrid>
      <w:tr>
        <w:trPr>
          <w:cantSplit/>
        </w:trPr>
        <w:tc>
          <w:tcPr>
            <w:tcW w:w="226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Dönem</w:t>
            </w:r>
          </w:p>
        </w:tc>
        <w:tc>
          <w:tcPr>
            <w:tcW w:w="8391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 xml:space="preserve">☐ I. dönem </w:t>
            </w:r>
            <w:r>
              <w:rPr>
                <w:rFonts w:ascii="Calibri" w:hAnsi="Calibri"/>
                <w:b w:val="0"/>
                <w:i w:val="0"/>
                <w:color w:val="C00000"/>
                <w:sz w:val="18"/>
              </w:rPr>
              <w:t>[../../20.. – ../../20..]</w:t>
            </w: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 xml:space="preserve">     ☐ II. dönem </w:t>
            </w:r>
            <w:r>
              <w:rPr>
                <w:rFonts w:ascii="Calibri" w:hAnsi="Calibri"/>
                <w:b w:val="0"/>
                <w:i w:val="0"/>
                <w:color w:val="C00000"/>
                <w:sz w:val="18"/>
              </w:rPr>
              <w:t>[../../20.. – ../../20..]</w:t>
            </w: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 xml:space="preserve">     ☐ Yıl sonu özeti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175"/>
        <w:gridCol w:w="1247"/>
        <w:gridCol w:w="4989"/>
        <w:gridCol w:w="1247"/>
      </w:tblGrid>
      <w:tr>
        <w:trPr>
          <w:tblHeader/>
          <w:cantSplit/>
        </w:trPr>
        <w:tc>
          <w:tcPr>
            <w:tcW w:w="317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GELİRLER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Tutar (TL)</w:t>
            </w:r>
          </w:p>
        </w:tc>
        <w:tc>
          <w:tcPr>
            <w:tcW w:w="4989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GİDERLER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Tutar (TL)</w:t>
            </w: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Dönem başı devir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Eğitim-öğretim giderleri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Kantin kira (birlik payı)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Bakım-onarım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Bağışlar (nakdî + ayni)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Temizlik ve sarf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Etkinlik / kampanya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Öğrenci destekleri (sayı: …)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Diğer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Personel giderleri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Diğer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TOPLAM GELİR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TOPLAM GİDER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317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DÖNEM SONU BAKİYE (banka + kasa)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4989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Şartlı bağış bakiyesi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DUYURU KAYDI (kanıt — DR 5.2/6-7)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494"/>
        <w:gridCol w:w="2835"/>
        <w:gridCol w:w="3628"/>
        <w:gridCol w:w="1701"/>
      </w:tblGrid>
      <w:tr>
        <w:trPr>
          <w:tblHeader/>
          <w:cantSplit/>
        </w:trPr>
        <w:tc>
          <w:tcPr>
            <w:tcW w:w="24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Duyuru</w:t>
            </w:r>
          </w:p>
        </w:tc>
        <w:tc>
          <w:tcPr>
            <w:tcW w:w="283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İlan panosuna asılma tarihi / asan</w:t>
            </w:r>
          </w:p>
        </w:tc>
        <w:tc>
          <w:tcPr>
            <w:tcW w:w="36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İnternet sayfası yayım tarihi / URL / sorumlu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İlgili karar (GK/YK no)</w:t>
            </w:r>
          </w:p>
        </w:tc>
      </w:tr>
      <w:tr>
        <w:tc>
          <w:tcPr>
            <w:tcW w:w="249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Tahmini bütçe (md. 13/9)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  <w:tc>
          <w:tcPr>
            <w:tcW w:w="3628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249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I. dönem gelir-gider (md. 13/10)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  <w:tc>
          <w:tcPr>
            <w:tcW w:w="3628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249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II. dönem gelir-gider (md. 13/10)</w:t>
            </w:r>
          </w:p>
        </w:tc>
        <w:tc>
          <w:tcPr>
            <w:tcW w:w="2835" w:type="dxa"/>
            <w:vAlign w:val="top"/>
          </w:tcPr>
          <w:p>
            <w:pPr>
              <w:spacing w:before="20" w:after="20"/>
            </w:pPr>
          </w:p>
        </w:tc>
        <w:tc>
          <w:tcPr>
            <w:tcW w:w="3628" w:type="dxa"/>
            <w:vAlign w:val="top"/>
          </w:tcPr>
          <w:p>
            <w:pPr>
              <w:spacing w:before="20" w:after="20"/>
            </w:pP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545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/>
        </w:trPr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Muhasip 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Görüldü — Okul Müdürü (internet yayımı okul sorumluluğunda)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5/1, 6/1-c-e, 11/1-d, 13/9-10, 17/1-b, 18/1, 19/4; DR 5.2/6-7, 5.2/10.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GNL-OAB-FR-010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TAHMİNİ BÜTÇE VE DÖNEMLİK GELİR-GİDER DUYURU FORMU (İLAN PANOSU / İNTERNET)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GNL-OAB-FR-010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GNL-OAB-FR-010_Tahmini_Butce_ve_Donemlik_Gelir_Gider_Duyuru_Formu_v1.0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